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over 11 years in software development, specializing in web and mobile applications using modern technologies. Expertise in React, Node.js, and TypeScript with a proven background in collaborative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CSS3, HTML5, Bootstrap, Tailwind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MS SQL Server, MongoDB, MySQL, Redis, Sequelize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CI/CD,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WooCommerce, Stripe, PayPal, Square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Postman,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an agile environment, fostering rapid prototyping and continuous integration practices to enhance delivery timelines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visually appealing front-end designs and optimize user experiences through responsive design strategies, ensuring mobile compatibility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clean and maintainable code standards in alignment with company guidelines while mentoring junior developers by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code reviews during collaborative coding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focusing on scalable architecture that supports future growth while enhancing user functionalities and capabilities through robust backend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architecture discussions around new features, emphasizing clear documentation and adherence to coding standards, resulting in effectively launched updates aligned with evolving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across remote teams through effective communication tools, ensuring transparency and managing expectations by participating actively in sprint planning, retrospectives, and stand-ups during the Agile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 tests and integration tests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improve software reliability and maintainability while reducing production bugs.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developing and enhancing a high-traffic e-commerce platform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transaction handling and boosted user engagement through optimized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backend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management, ensuring that the architecture met both current and future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development cycles designed to evolve product capabilities, driving the team towards the adoption of agile methodologies that embraced continuous delivery and effective stakeholder communications.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standard of project documentation and reporting while ensuring alignment with business objectives and milestones, supporting a consistent vision and sparking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endpoints that successfully facilitated interactions between multi-tier applications, demonstrating a solid understanding of RESTful practices and best engineering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reinforcing a culture of shared learning and skill development, which ultimately enhanced team productivity and application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