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 development. Proven expertise in building high-performance interfaces and collaborating within fast-paced environments using modern technologies like TypeScript, React, and Tailwind CSS. Passionate about leveraging AI APIs to enhance user experiences and drive operational efficiency in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Tailwind CSS, HTML5, CSS3, JavaScript,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Flask, Django, Node.js, Express.js,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SQLAlchemy,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 Pipelines,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Mocha, Chai,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diverse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efficiently, enhancing the flow of data to the frontend while maintaining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dashboards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logistics data visualization, improving user interaction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in coding standards within the team, fostering a culture of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human-in-the-loop interfaces to transparently display AI-driven workflows, ensuring operational teams could easily manage AI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which improved team dynamics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enabling collaboration across multiple teams and maintaining project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debugging,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error-free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documentation for software features, enhancing knowledge sharing and project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services that supported high concurrency and data handling during peak loads, showcasing adaptability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translating business needs into technical specifications, ultimately streamlining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development frameworks, cultivating skills and enhancing team expertise through pair programming and code walkthroughs.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intuitive navigation and responsive design features aligned with business goals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fetching strategies, reducing data over-fetching and ultimately increasing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collaborating effectively to align development goals with project vision and market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interactive web applications, ensuring code quality through extensive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technical requirements and ensure high fidelity of the product with user expectations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built seamless frontend-backend integration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effectively responding to user interactions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reliable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aesthetic UI/UX that adhered to company branding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infrastructure of applications using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user research and feedback sessions to inform the design of adaptive user interfaces that enhance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scrum meetings, ensuring team alignment and timely project completion while fostering an open environment for discussion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developed functionalities and processes, aiding in team transitions and enhancing the onboarding experience of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on code quality and design consistency amongst peers to elevate overall code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data-driven decision-making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analytics within operational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error tracking systems and monitoring tools to enhance application reliability and user satisfaction during high-load scenarios.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