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Proven expertise in leading technical teams, architecting scalable systems, and delivering high-quality software solutions in fast-paced environments. Eager to drive innovation at Nabis.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Service-Oriented Architecture,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 to design and implement a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V2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maximizing performance and reliability for critical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guidelines ensuring team alignment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security and ease of integration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Nabis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thorough testing processes, resulting in a more robust and maintainable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strategy for improving engineering processes, focusing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overall engineering velocity through modern tools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problem-solving strategies, fostering a culture of continuous improvement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goal-setting sessions, aligning engineering efforts with the broader product vision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needs into technical plans, ensuring comprehensive alignment on requirements and priorities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regular code reviews emphasizing educational aspects, maintainability, and adherence to industry best practices, significantly elevating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incident response strategies and operational excellence through proactive monitoring and incident management, ensuring the reliability of services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engineering in critical stakeholder discussions, effectively communicating technical solutions and trade-offs to secure alignment on project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that encourages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responsiveness to evolving challenges in a dynamic industry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selection and integration of third-party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seamless deployment processes and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on the performance of existing systems, recommending and implementing solutions that enhanced system reliability and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internal tools to streamline workflows, significantly reducing manual efforts and increasing overall engineering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cannabis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 landscape, ensuring the team remains at the cutting edge of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multi-tiered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faster loading times and improved user experience for over a million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hydration to the front-end and improving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successfully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and computing resources while ensuring cost-effective scaling.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significantly improved response times and reduced server load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internal libraries promoting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speed and consistency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developers, guiding them through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challenges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innovative solutions while maintaining high quality and strict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oversaw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reducing deployment times and enhancing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ongoing architectural decisions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smoother integration points across various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streaming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processing of events and improving the responsiveness of the system to user 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higher code coverage and reliability of the user-facing elements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training programs focusing on latest trends in web technologies, enhancing team skill sets and performance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reviews and architecture discussions, offering insights and recommendations grounded in extensive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