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DevSecOps professional with over 11 years of experience in software development, specializing in cloud-native application security and full SDLC integration. Proven track record of enhancing deployment processes and driving customer success through effective collaboration, innovative solutioning, and technical expertise in diverse toolsets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&amp; Orchestration Tools:</w:t>
      </w:r>
      <w:r w:rsidRPr="00106EA3">
        <w:rPr>
          <w:rFonts w:ascii="Roboto Light" w:eastAsia="Roboto Light" w:hAnsi="Roboto Light" w:cs="Roboto Light"/>
          <w:sz w:val="20"/>
          <w:szCs w:val="20"/>
        </w:rPr>
        <w:t xml:space="preserve"> Kubernetes, Docker, OpenShift, Helm, Rancher, Kube-bench, Kubernetes Operators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GitHub Actions, GitLab CI, Jenkins, Terraform, Ansible, ArgoCD, Flux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Multi-Cloud, CloudFormation, Service Mesh,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Observability:</w:t>
      </w:r>
      <w:r w:rsidRPr="00106EA3">
        <w:rPr>
          <w:rFonts w:ascii="Roboto Light" w:eastAsia="Roboto Light" w:hAnsi="Roboto Light" w:cs="Roboto Light"/>
          <w:sz w:val="20"/>
          <w:szCs w:val="20"/>
        </w:rPr>
        <w:t xml:space="preserve"> Aqua Security, Sysdig, Prisma, Prometheus, Grafana, Vault, OPA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Integration:</w:t>
      </w:r>
      <w:r w:rsidRPr="00106EA3">
        <w:rPr>
          <w:rFonts w:ascii="Roboto Light" w:eastAsia="Roboto Light" w:hAnsi="Roboto Light" w:cs="Roboto Light"/>
          <w:sz w:val="20"/>
          <w:szCs w:val="20"/>
        </w:rPr>
        <w:t xml:space="preserve"> Jira, ServiceNow, Microsoft 365, SharePoint, Splunk, Sentinel,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security solutions for cloud-native applications,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speed and reliability while ensuring compliance with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DevSecOps Architects and Customer Success Managers, to align customer deployment strategies with technical milestones for optimal platform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Aqua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enterprise environments using automation scripts, bolstering vulnerability management and compliance tracking across production systems and infrastructure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engagement sessions with enterprise clients, delivering technical guidance and best practices for the seamless operationalization of </w:t>
      </w:r>
      <w:r w:rsidRPr="00106EA3">
        <w:rPr>
          <w:rFonts w:ascii="Roboto Light" w:eastAsia="Roboto Light" w:hAnsi="Roboto Light" w:cs="Roboto Light"/>
          <w:b/>
          <w:bCs/>
          <w:sz w:val="20"/>
          <w:szCs w:val="20"/>
        </w:rPr>
        <w:t xml:space="preserve">Aqua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reusable deployment assets to simplify the onboarding process for new clients, resulting in expedited adoption of security protocols in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customer environments to identify and address security gaps,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and performance monitoring within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embed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into customer workflows, enhancing code deployment speed while maintaining adherence to security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enhancement of product roadmaps by incorporating customer feedback, improving product fit in alignment with real-world deployment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deployments, ensuring robust version control and automated management of cloud resources in line with best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customer relationships, serving as a trusted advisor to ensure ongoing platform value and measurable security outcomes in cloud-native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up to 30% on-site travel for customer engagements, strategically enhancing customer satisfaction through tailored security strategies and hands-on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configured </w:t>
      </w:r>
      <w:r w:rsidRPr="00106EA3">
        <w:rPr>
          <w:rFonts w:ascii="Roboto Light" w:eastAsia="Roboto Light" w:hAnsi="Roboto Light" w:cs="Roboto Light"/>
          <w:b/>
          <w:bCs/>
          <w:sz w:val="20"/>
          <w:szCs w:val="20"/>
        </w:rPr>
        <w:t xml:space="preserve">Sysdig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observability tools to monitor application performance and security compliance in real-time across hybrid cloud environments, ensuring system resilience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in defining strategic objectives for security initiatives, driving collaborative alignment across engineering and product management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vulnerability assessments and implemented remediation strategies using </w:t>
      </w:r>
      <w:r w:rsidRPr="00106EA3">
        <w:rPr>
          <w:rFonts w:ascii="Roboto Light" w:eastAsia="Roboto Light" w:hAnsi="Roboto Light" w:cs="Roboto Light"/>
          <w:b/>
          <w:bCs/>
          <w:sz w:val="20"/>
          <w:szCs w:val="20"/>
        </w:rPr>
        <w:t xml:space="preserve">Aqua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enterprise applications remained protected against emerging threats and compliance violations.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knowledge base and provided internal training sessions on the latest cloud security trends, fostering a culture of continuous learning and adaptability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enhancement of enterprise-scale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automating deployment pipelines and integrating security into all stages of the SDLC.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emphasize security, ensuring artifacts meet compliance benchmarks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for infrastructure security and efficient resource management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training materials, facilitating knowledge sharing among team members and clients while enhancing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and stakeholders in agile ceremonies to gather feedback on software performance, enabling prompt adjustments to current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various software applications, enhancing data flow efficiency and system integrations with third-party services in enterprise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visibility over application performance and user interactions to direct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deployment scripts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setup times and minimizing human error across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procedures for applications running in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and availability in tandem with robust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conduct pen-testing and vulnerability assessments against in-house applications, proactively addressing issues and enhancing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fostering skill development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cloud security, and modern software development methodologies within Microsoft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iterative improvements in deployment processes through automation, effectively reducing time-to-market while implementing rigorous testing to align with security protocols.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