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web and mobile applications. Proficient in developing advanced machine learning models for credit risk and fraud detection within the fintech industry, leveraging analytical prowess and industry knowledge to optimize strategic decisions and drive improvements in patient financing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BI Tools:</w:t>
      </w:r>
      <w:r w:rsidRPr="00106EA3">
        <w:rPr>
          <w:rFonts w:ascii="Roboto Light" w:eastAsia="Roboto Light" w:hAnsi="Roboto Light" w:cs="Roboto Light"/>
          <w:sz w:val="20"/>
          <w:szCs w:val="20"/>
        </w:rPr>
        <w:t xml:space="preserve"> Looker, Tableau, Power BI, Excel,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Frameworks:</w:t>
      </w:r>
      <w:r w:rsidRPr="00106EA3">
        <w:rPr>
          <w:rFonts w:ascii="Roboto Light" w:eastAsia="Roboto Light" w:hAnsi="Roboto Light" w:cs="Roboto Light"/>
          <w:sz w:val="20"/>
          <w:szCs w:val="20"/>
        </w:rPr>
        <w:t xml:space="preserve"> scikit-learn, TensorFlow,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Google Cloud Platform, BigQuery, Cloud Dataflow, Cloud Pub/Sub, Cloud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Workflow:</w:t>
      </w:r>
      <w:r w:rsidRPr="00106EA3">
        <w:rPr>
          <w:rFonts w:ascii="Roboto Light" w:eastAsia="Roboto Light" w:hAnsi="Roboto Light" w:cs="Roboto Light"/>
          <w:sz w:val="20"/>
          <w:szCs w:val="20"/>
        </w:rPr>
        <w:t xml:space="preserve"> Apache Airflow, Apache Kafka, SQLAlchemy, dbt,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Risk Management Tools:</w:t>
      </w:r>
      <w:r w:rsidRPr="00106EA3">
        <w:rPr>
          <w:rFonts w:ascii="Roboto Light" w:eastAsia="Roboto Light" w:hAnsi="Roboto Light" w:cs="Roboto Light"/>
          <w:sz w:val="20"/>
          <w:szCs w:val="20"/>
        </w:rPr>
        <w:t xml:space="preserve"> Credit Scoring Models, Fraud Detection Systems, Data Warehousing, Predictive Analytics, Risk Assessment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advanced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credit risk assessment at a prominent </w:t>
      </w:r>
      <w:r w:rsidRPr="00106EA3">
        <w:rPr>
          <w:rFonts w:ascii="Roboto Light" w:eastAsia="Roboto Light" w:hAnsi="Roboto Light" w:cs="Roboto Light"/>
          <w:b/>
          <w:bCs/>
          <w:sz w:val="20"/>
          <w:szCs w:val="20"/>
        </w:rPr>
        <w:t xml:space="preserve">fintech startup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datasets for accurate underwriting and approval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scalable </w:t>
      </w:r>
      <w:r w:rsidRPr="00106EA3">
        <w:rPr>
          <w:rFonts w:ascii="Roboto Light" w:eastAsia="Roboto Light" w:hAnsi="Roboto Light" w:cs="Roboto Light"/>
          <w:b/>
          <w:bCs/>
          <w:sz w:val="20"/>
          <w:szCs w:val="20"/>
        </w:rPr>
        <w:t xml:space="preserve">machine learning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credit line assignments and enhancing </w:t>
      </w:r>
      <w:r w:rsidRPr="00106EA3">
        <w:rPr>
          <w:rFonts w:ascii="Roboto Light" w:eastAsia="Roboto Light" w:hAnsi="Roboto Light" w:cs="Roboto Light"/>
          <w:b/>
          <w:bCs/>
          <w:sz w:val="20"/>
          <w:szCs w:val="20"/>
        </w:rPr>
        <w:t xml:space="preserve">fraud detection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client profiles.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through </w:t>
      </w:r>
      <w:r w:rsidRPr="00106EA3">
        <w:rPr>
          <w:rFonts w:ascii="Roboto Light" w:eastAsia="Roboto Light" w:hAnsi="Roboto Light" w:cs="Roboto Light"/>
          <w:b/>
          <w:bCs/>
          <w:sz w:val="20"/>
          <w:szCs w:val="20"/>
        </w:rPr>
        <w:t xml:space="preserve">data visualization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monitoring of model performance and driving strategic risk management decisions across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ad-hoc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corporate development initiatives, improving operational efficiency and refining risk management strategies for investor services within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facilitating seamless data integration and processing from various sources to support analytical needs for credit risk modeling and fraud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risk pricing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data-driven analytics, leveraging advanced statistical methods to enhance </w:t>
      </w:r>
      <w:r w:rsidRPr="00106EA3">
        <w:rPr>
          <w:rFonts w:ascii="Roboto Light" w:eastAsia="Roboto Light" w:hAnsi="Roboto Light" w:cs="Roboto Light"/>
          <w:b/>
          <w:bCs/>
          <w:sz w:val="20"/>
          <w:szCs w:val="20"/>
        </w:rPr>
        <w:t xml:space="preserve">underwriting criteria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overall loan management frameworks for healthcare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model performance monitoring and improvement, adapting strategies in response to market changes and regulatory requirements through meticulous analysis and validation of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best </w:t>
      </w:r>
      <w:r w:rsidRPr="00106EA3">
        <w:rPr>
          <w:rFonts w:ascii="Roboto Light" w:eastAsia="Roboto Light" w:hAnsi="Roboto Light" w:cs="Roboto Light"/>
          <w:b/>
          <w:bCs/>
          <w:sz w:val="20"/>
          <w:szCs w:val="20"/>
        </w:rPr>
        <w:t xml:space="preserve">lending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alignment with industry regulations, fostering trust and transparency in product offerings to healthcare patients.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w:t>
      </w:r>
      <w:r w:rsidRPr="00106EA3">
        <w:rPr>
          <w:rFonts w:ascii="Roboto Light" w:eastAsia="Roboto Light" w:hAnsi="Roboto Light" w:cs="Roboto Light"/>
          <w:b/>
          <w:bCs/>
          <w:sz w:val="20"/>
          <w:szCs w:val="20"/>
        </w:rPr>
        <w:t xml:space="preserve">collections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applying predictive modeling techniques, significantly improving recovery rates through tactical insights driven by data analysis and forecasting.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environment with engineering teams to ensure successful model deployment, utilizing </w:t>
      </w:r>
      <w:r w:rsidRPr="00106EA3">
        <w:rPr>
          <w:rFonts w:ascii="Roboto Light" w:eastAsia="Roboto Light" w:hAnsi="Roboto Light" w:cs="Roboto Light"/>
          <w:b/>
          <w:bCs/>
          <w:sz w:val="20"/>
          <w:szCs w:val="20"/>
        </w:rPr>
        <w:t xml:space="preserve">CI/CD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ongoing support for production monitoring and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a data-driven culture within the organization, conducting workshops and training sessions on the effective use of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for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r w:rsidRPr="00106EA3">
        <w:rPr>
          <w:rFonts w:ascii="Roboto Light" w:eastAsia="Roboto Light" w:hAnsi="Roboto Light" w:cs="Roboto Light"/>
          <w:b/>
          <w:bCs/>
          <w:sz w:val="20"/>
          <w:szCs w:val="20"/>
        </w:rPr>
        <w:t xml:space="preserve">machine learning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risk modeling, including advanced techniques like </w:t>
      </w:r>
      <w:r w:rsidRPr="00106EA3">
        <w:rPr>
          <w:rFonts w:ascii="Roboto Light" w:eastAsia="Roboto Light" w:hAnsi="Roboto Light" w:cs="Roboto Light"/>
          <w:b/>
          <w:bCs/>
          <w:sz w:val="20"/>
          <w:szCs w:val="20"/>
        </w:rPr>
        <w:t xml:space="preserve">CECL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LGD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insights into actionable strategies for mitigating losses and maximizing cash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alternative 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credit risk analysis, facilitating more inclusive lending practices that enabled patients to access necessary healthcare services without financial barriers.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w:t>
      </w:r>
      <w:r w:rsidRPr="00106EA3">
        <w:rPr>
          <w:rFonts w:ascii="Roboto Light" w:eastAsia="Roboto Light" w:hAnsi="Roboto Light" w:cs="Roboto Light"/>
          <w:b/>
          <w:bCs/>
          <w:sz w:val="20"/>
          <w:szCs w:val="20"/>
        </w:rPr>
        <w:t xml:space="preserve">credit risk assessment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emerging technologies and methodologies to advance the company's offerings within the competitive healthcare financing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and strategic recommendations to senior management, effectively bridging the gap between technical insights and business objectives in the organization's operational framework.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key software components and systems, contributing to overall product functionality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focus on enhancing user experience across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implementation of advanced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best practices, facilitating the integration of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capabilities and performance efficiency across products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identify and solve complex engineering challenges, ensuring alignment with project goals and defined deliverables within committed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APIs and web services effectively to expand the platform's interoperability with external systems, significantly improving data exchange and application response times by employing robust network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through a proactive approach in code quality assurance, implementing thorough unit testing and deployment practices that minimized downtime and issues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continuous improvement through active participation in technology assessments and proof of concept discussions, introducing new tools and technologies that enhanced development efficiency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design and development principles, nurturing talent and fostering a culture of growth through knowledge sharing and collaborative problem-solving throughout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repository management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coding techniques to maintain code integrity and encourage effective teamwork in fast-paced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 engaging in sprint planning, retrospectives, and daily stand-ups to improve team velocity and cohesion while delivering high-impact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development cycle effectively, ensuring that product updates meet client needs and significantly improving customer satisfaction ratings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scalable software solutions, drawing from industry best practices to build efficient and maintainable code structures that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existing applications to ensure they met evolving market demands, implementing enhancements that improved load times and overall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