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development, specializing in scalable data processing frameworks, big data technologies, and cloud platforms. Proven track record in developing production-grade data pipelines for high-volume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Spark SQL, Spark Streaming, Apache Kafka,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Databricks,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Frameworks, Monitoring Tools, Observability, ETL Tools, data processing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efficiency and ensuring scalable solutions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optimize data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access to processed datasets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data transformation and loading for high-volume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checks on processing pipelines, utilizing industry-standard monitoring tools to ensure reliability and accuracy of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infrastructure by migrating workflows to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EMR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performance and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tuning efforts in batch and streaming data applications, applying metrics-driven optimizations to incrementally improve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data pipeline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ingestion and processing for various internal metrics and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the reliability of data-driven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 Catalog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accessibility for analytics and reporting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coding environments and enabling effective code reviews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thus aligning with business goals and maximizing cloud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organizational culture centered on improved data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extensive documentation for data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transparency and knowledge sharing across teams for enhanced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contributions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public repositories for community benefit and showcasing commitment to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monitoring alerts using integrated systems, ensuring immediate feedback on data pipeline failures and promoting proactive resolutions.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solutions encompassing both front-end and back-end development within data-driven applications, applying principles of responsive design and usability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for large-scale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enhanced flexibility and improved data storage efficiency industries like finance and healthcare.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daily stand-ups and sprint planning to ensure cross-team collaboration and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standard operating procedures for the deployment of applications, emphasizing security and compliance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standards for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 that uphold application quality, facilitating robust end-to-end testing practices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reporting solutions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visualization options for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developers, elevating team performance and code quality through knowledge sharing and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specifications aligning with project requirements to ensure clarity and alignment among stakeholders from inception to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recommend strategic enhancements to the data processing architecture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migration projects from on-premise data solutions to cloud platforms, ensuring uninterrupted service during transitions with a focus on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communication through regular updates to stakeholders and leadership, delivering insights on project progress and technological challenges encountered.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