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Architect with over 11 years of experience in software development, specializing in data analytics and architecture. Proven expertise in developing scalable data solutions using cloud-native technologies and advanced data modeling techniques. Exceptional ability to align technical solutions with business needs, ensuring effective data governance and quality. Strong communication and leadership skills foster collaboration and team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Architecture:</w:t>
      </w:r>
      <w:r w:rsidRPr="00106EA3">
        <w:rPr>
          <w:rFonts w:ascii="Roboto Light" w:eastAsia="Roboto Light" w:hAnsi="Roboto Light" w:cs="Roboto Light"/>
          <w:sz w:val="20"/>
          <w:szCs w:val="20"/>
        </w:rPr>
        <w:t xml:space="preserve"> Dimensional Modeling, 3NF, Data Vault, Conceptual Modeling, Physical Data Modeling, Data Mesh, Data Governance, Master Data Management (MDM)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Storage:</w:t>
      </w:r>
      <w:r w:rsidRPr="00106EA3">
        <w:rPr>
          <w:rFonts w:ascii="Roboto Light" w:eastAsia="Roboto Light" w:hAnsi="Roboto Light" w:cs="Roboto Light"/>
          <w:sz w:val="20"/>
          <w:szCs w:val="20"/>
        </w:rPr>
        <w:t xml:space="preserve"> Snowflake, Databricks, Microsoft Fabric, GCP BigQuery, AWS RDS, Azure Data Factory, FiveTran, Matillion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Processing:</w:t>
      </w:r>
      <w:r w:rsidRPr="00106EA3">
        <w:rPr>
          <w:rFonts w:ascii="Roboto Light" w:eastAsia="Roboto Light" w:hAnsi="Roboto Light" w:cs="Roboto Light"/>
          <w:sz w:val="20"/>
          <w:szCs w:val="20"/>
        </w:rPr>
        <w:t xml:space="preserve"> DBT, Apache Airflow, Python, SQL, ETL, Data Transformation, Streaming Data, Batch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Visualization:</w:t>
      </w:r>
      <w:r w:rsidRPr="00106EA3">
        <w:rPr>
          <w:rFonts w:ascii="Roboto Light" w:eastAsia="Roboto Light" w:hAnsi="Roboto Light" w:cs="Roboto Light"/>
          <w:sz w:val="20"/>
          <w:szCs w:val="20"/>
        </w:rPr>
        <w:t xml:space="preserve"> PowerBI, Tableau, Looker, Domo, Qlik, SAP Analytics, Oracle BI, ThoughtSpot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Kubernetes, Terraform, Microservices Architecture, CI/CD, Containerization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business data models aligned with discovered processes, utilizing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effectively illustrated the relationships between various data entities and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numerous model review sessions where various design options were presented to both technical stakeholders and executive leaders, facilitating a shared understanding of the architectural implications.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work estimates for data warehouse and data lake deliverables, ensuring appropriate resource allocation and timely completion of project phases with an emphasis on 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a diverse team of data engineers and analysts, promoting best practices in data architecture through hands-on workshops and collaborative sessions on </w:t>
      </w:r>
      <w:r w:rsidRPr="00106EA3">
        <w:rPr>
          <w:rFonts w:ascii="Roboto Light" w:eastAsia="Roboto Light" w:hAnsi="Roboto Light" w:cs="Roboto Light"/>
          <w:b/>
          <w:bCs/>
          <w:sz w:val="20"/>
          <w:szCs w:val="20"/>
        </w:rPr>
        <w:t xml:space="preserve">data modeling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data architecture framework defining standards and principles, addressing both </w:t>
      </w:r>
      <w:r w:rsidRPr="00106EA3">
        <w:rPr>
          <w:rFonts w:ascii="Roboto Light" w:eastAsia="Roboto Light" w:hAnsi="Roboto Light" w:cs="Roboto Light"/>
          <w:b/>
          <w:bCs/>
          <w:sz w:val="20"/>
          <w:szCs w:val="20"/>
        </w:rPr>
        <w:t xml:space="preserve">metadata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security protocols to enhance overall system robustness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reference architecture patterns serving as guidelines for future project implementations, allowing teams to enhance best practices across data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end-to-end data flows across multiple departments, clarifying data generation sources, dependencies, and transformation processes necessary for seamless integrations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external SMEs and clients to gather requirements and translate them into actionable design specifications, ensuring alignment with strategic objectives and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modern data delivery patterns focusing on delivering data as a product, which improved accessibility and usability across the organization while enhancing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master data governance strategies defining standards for important data domains such as product and client categories, fostering a structured data management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legacy on-premises data solutions while guiding migrations to cloud-native architectures, which improved operational efficiencies and supported data analytics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initiatives for addressing data quality issues, identifying root causes and remediation strategies, ultimately improving data reliability and trust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technological tools within the team, such as </w:t>
      </w:r>
      <w:r w:rsidRPr="00106EA3">
        <w:rPr>
          <w:rFonts w:ascii="Roboto Light" w:eastAsia="Roboto Light" w:hAnsi="Roboto Light" w:cs="Roboto Light"/>
          <w:b/>
          <w:bCs/>
          <w:sz w:val="20"/>
          <w:szCs w:val="20"/>
        </w:rPr>
        <w:t xml:space="preserve">[Apache Airflow, Matillion]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engineers were equipped with industry-leading technologies for data manipulation and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feedback loops with data stakeholders, employing adaptive communication strategies to ensure clarity and understanding across varying technical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trends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solutions, providing innovative recommendations that positioned the organization as a market leader in data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scalable web applications utilizing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availability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demonstrating agile methodology, contributing to the planning, design, and development phases for numerous software projects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access and system responsiveness aligning with modern architectural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testing and code reviews to uphold code quality standards, ensuring all developed software adheres to industry best practices and maintains high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Server as a database solution to manage data effectively while utilizing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simplifying database operations and improving code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schema design and optimization techniques to enhance database performance and storage capacity, focusing on data retrieval timings and efficient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mentorship sessions for junior developers, focusing on sharing knowledge of programming best practices, </w:t>
      </w:r>
      <w:r w:rsidRPr="00106EA3">
        <w:rPr>
          <w:rFonts w:ascii="Roboto Light" w:eastAsia="Roboto Light" w:hAnsi="Roboto Light" w:cs="Roboto Light"/>
          <w:b/>
          <w:bCs/>
          <w:sz w:val="20"/>
          <w:szCs w:val="20"/>
        </w:rPr>
        <w:t xml:space="preserve">software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development ethics to strengthen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user-centered design principles, which enhanced the customer experience across various web applications ensuring high engagement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web applications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streamlined processes that improved overall user interactions and enhanced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applications by troubleshooting issues, performing necessary updates, and ensuring optimal functionality across all levels of the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SQL performance through the analysis of queries and indexing while applying recommendations to improve operational efficiency and execution times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operational support and release management processes, ensuring timely and accurate deployments of updates and new features across various applications, instilling a commitment to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