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building web and mobile applications. Proven expertise in creating instructional materials for machine learning systems and translating complex ideas into engaging content.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SQL, R,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Label Studio, TensorFlow, PyTorch, Keras, scikit-learn, NLTK, spaCy,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Annotation Platforms:</w:t>
      </w:r>
      <w:r w:rsidRPr="00106EA3">
        <w:rPr>
          <w:rFonts w:ascii="Roboto Light" w:eastAsia="Roboto Light" w:hAnsi="Roboto Light" w:cs="Roboto Light"/>
          <w:sz w:val="20"/>
          <w:szCs w:val="20"/>
        </w:rPr>
        <w:t xml:space="preserve"> Amazon SageMaker Ground Truth, Prodigy, VGG Image Annotator, SuperAnnotate, VOTT, Snorkel, CVAT, Labelbox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Node.js, Django, Flask, HTML5, CSS3,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Plotly, D3.js, ggplot2, Dash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VS Code, Eclipse, Postman,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instructional lessons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covering various data annotation techniques including </w:t>
      </w:r>
      <w:r w:rsidRPr="00106EA3">
        <w:rPr>
          <w:rFonts w:ascii="Roboto Light" w:eastAsia="Roboto Light" w:hAnsi="Roboto Light" w:cs="Roboto Light"/>
          <w:b/>
          <w:bCs/>
          <w:sz w:val="20"/>
          <w:szCs w:val="20"/>
        </w:rPr>
        <w:t xml:space="preserve">text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image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video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modalities, ensuring all content aligned with defined </w:t>
      </w:r>
      <w:r w:rsidRPr="00106EA3">
        <w:rPr>
          <w:rFonts w:ascii="Roboto Light" w:eastAsia="Roboto Light" w:hAnsi="Roboto Light" w:cs="Roboto Light"/>
          <w:b/>
          <w:bCs/>
          <w:sz w:val="20"/>
          <w:szCs w:val="20"/>
        </w:rPr>
        <w:t xml:space="preserve">learning outcomes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w:t>
      </w:r>
      <w:r w:rsidRPr="00106EA3">
        <w:rPr>
          <w:rFonts w:ascii="Roboto Light" w:eastAsia="Roboto Light" w:hAnsi="Roboto Light" w:cs="Roboto Light"/>
          <w:b/>
          <w:bCs/>
          <w:sz w:val="20"/>
          <w:szCs w:val="20"/>
        </w:rPr>
        <w:t xml:space="preserve">content packages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included comprehensive </w:t>
      </w:r>
      <w:r w:rsidRPr="00106EA3">
        <w:rPr>
          <w:rFonts w:ascii="Roboto Light" w:eastAsia="Roboto Light" w:hAnsi="Roboto Light" w:cs="Roboto Light"/>
          <w:b/>
          <w:bCs/>
          <w:sz w:val="20"/>
          <w:szCs w:val="20"/>
        </w:rPr>
        <w:t xml:space="preserve">facilitator guides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learner materials, and practice activities aimed at fostering learner engagement and skill acquisition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annotation.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continuously with cross-functional teams, including program and design personnel, to align on </w:t>
      </w:r>
      <w:r w:rsidRPr="00106EA3">
        <w:rPr>
          <w:rFonts w:ascii="Roboto Light" w:eastAsia="Roboto Light" w:hAnsi="Roboto Light" w:cs="Roboto Light"/>
          <w:b/>
          <w:bCs/>
          <w:sz w:val="20"/>
          <w:szCs w:val="20"/>
        </w:rPr>
        <w:t xml:space="preserve">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and effective approach to </w:t>
      </w:r>
      <w:r w:rsidRPr="00106EA3">
        <w:rPr>
          <w:rFonts w:ascii="Roboto Light" w:eastAsia="Roboto Light" w:hAnsi="Roboto Light" w:cs="Roboto Light"/>
          <w:b/>
          <w:bCs/>
          <w:sz w:val="20"/>
          <w:szCs w:val="20"/>
        </w:rPr>
        <w:t xml:space="preserve">content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and iterated on existing instructional materials based on feedback, maintaining a standard of excellence in </w:t>
      </w:r>
      <w:r w:rsidRPr="00106EA3">
        <w:rPr>
          <w:rFonts w:ascii="Roboto Light" w:eastAsia="Roboto Light" w:hAnsi="Roboto Light" w:cs="Roboto Light"/>
          <w:b/>
          <w:bCs/>
          <w:sz w:val="20"/>
          <w:szCs w:val="20"/>
        </w:rPr>
        <w:t xml:space="preserve">content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learner comprehension.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hands-on exercises utilizing </w:t>
      </w:r>
      <w:r w:rsidRPr="00106EA3">
        <w:rPr>
          <w:rFonts w:ascii="Roboto Light" w:eastAsia="Roboto Light" w:hAnsi="Roboto Light" w:cs="Roboto Light"/>
          <w:b/>
          <w:bCs/>
          <w:sz w:val="20"/>
          <w:szCs w:val="20"/>
        </w:rPr>
        <w:t xml:space="preserve">Label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learners to gain practical experience with modern data labeling workflows and reinforcing their knowledge through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meetings to discuss content deployment strategies, addressing any delivery constraints, while actively supporting the integration of materials into our </w:t>
      </w:r>
      <w:r w:rsidRPr="00106EA3">
        <w:rPr>
          <w:rFonts w:ascii="Roboto Light" w:eastAsia="Roboto Light" w:hAnsi="Roboto Light" w:cs="Roboto Light"/>
          <w:b/>
          <w:bCs/>
          <w:sz w:val="20"/>
          <w:szCs w:val="20"/>
        </w:rPr>
        <w:t xml:space="preserve">learning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Examined emerging trends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annotation practices, adapting content as necessary to stay aligned with industry advancements and ensure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insights to enhance existing </w:t>
      </w:r>
      <w:r w:rsidRPr="00106EA3">
        <w:rPr>
          <w:rFonts w:ascii="Roboto Light" w:eastAsia="Roboto Light" w:hAnsi="Roboto Light" w:cs="Roboto Light"/>
          <w:b/>
          <w:bCs/>
          <w:sz w:val="20"/>
          <w:szCs w:val="20"/>
        </w:rPr>
        <w:t xml:space="preserve">annotations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overall instructional efficiency, placing emphasis on accuracy and learner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evaluation rubrics and scoring criteria for annotation quality, providing concrete frameworks for assessing learner progress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promoting best practices in </w:t>
      </w:r>
      <w:r w:rsidRPr="00106EA3">
        <w:rPr>
          <w:rFonts w:ascii="Roboto Light" w:eastAsia="Roboto Light" w:hAnsi="Roboto Light" w:cs="Roboto Light"/>
          <w:b/>
          <w:bCs/>
          <w:sz w:val="20"/>
          <w:szCs w:val="20"/>
        </w:rPr>
        <w:t xml:space="preserve">annotation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which fostered a more knowledgeable team environment for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to assess the effectiveness of training materials, allowing for continuous improvements and updates in </w:t>
      </w:r>
      <w:r w:rsidRPr="00106EA3">
        <w:rPr>
          <w:rFonts w:ascii="Roboto Light" w:eastAsia="Roboto Light" w:hAnsi="Roboto Light" w:cs="Roboto Light"/>
          <w:b/>
          <w:bCs/>
          <w:sz w:val="20"/>
          <w:szCs w:val="20"/>
        </w:rPr>
        <w:t xml:space="preserve">curriculum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delivery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multimedia content across various platforms, enhancing the learning experience for participants and ensuring content addressed multiple learning modalities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 collaboration framework with industry experts to ascertain the effectiveness of training content, integrating field knowledge with instructional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ensuring timely completion of content packages and meeting the identified educational needs of the participants.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content production workflows by utilizing automation tools, which improved productivity and reduced turnaround times for instructional material updates.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while reducing processing time for data-intensive tasks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 services, ensuring reliable performance and seamless integration with existing applications while implementing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deliver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met customer needs, enhancing overall satisfaction and engagement with our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accessibility and visual appeal across different devices and screen sizes for maximized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scalability and maintainability of applications while enabling teams to independently deploy and manage their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reliability of builds, which enhanced the overall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 documentation for various services, ensuring that internal and external users could easily integrate with our systems and understand data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reliability and performance while ensuring that new features did not introduce regressions.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while continuously improving coding standards and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executed complex SQL queries optimizing performance and management of large datasets crucial for our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to gather feedback and improve product usability, ensuring that final product releases were intuitive and functional as anticipated.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software engineering best practices, fostering a collaborative environment and aiding in their professional development as software engineers.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