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Engineer with 11 years of comprehensive experience in software development, specializing in web and mobile applications. Proven track record in designing and integrating AI-driven systems, optimizing processes for enhanced performance in fast-paced environments. Adept at collaborating with cross-functional teams to deliver impactful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HTML/CSS, SQL,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JIRA, Slack, Postman,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LLMs, OpenAI SDK, LangChain, CrewAI, Natural Language Processing (NLP), Reinforcement Learning,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Development:</w:t>
      </w:r>
      <w:r w:rsidRPr="00106EA3">
        <w:rPr>
          <w:rFonts w:ascii="Roboto Light" w:eastAsia="Roboto Light" w:hAnsi="Roboto Light" w:cs="Roboto Light"/>
          <w:sz w:val="20"/>
          <w:szCs w:val="20"/>
        </w:rPr>
        <w:t xml:space="preserve"> RESTful APIs, GraphQL, Microservices, APIs Development, CI/CD, Agile Methodology,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-specific integration frameworks, crafting tools that optimize partner integration processes and enhance functionality across various AI applications through systematic testing and prompt refinement.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 comprehensive prompt engineering strategy, ensuring reliability of AI agent responses and improving the interpretability of data extraction tasks via iterative refinement based on model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develop integration templates that facilitate seamless implementation of </w:t>
      </w:r>
      <w:r w:rsidRPr="00106EA3">
        <w:rPr>
          <w:rFonts w:ascii="Roboto Light" w:eastAsia="Roboto Light" w:hAnsi="Roboto Light" w:cs="Roboto Light"/>
          <w:b/>
          <w:bCs/>
          <w:sz w:val="20"/>
          <w:szCs w:val="20"/>
        </w:rPr>
        <w:t xml:space="preserve">Firecrawl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solutions, prioritizing usability and the reduction of onboarding times for new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technical contact on Slack for partnerships, providing real-time assistance to integration issues, fostering strong relationships through effective communication, and quick problem resolution for partner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analytics to monitor and assess the effectiveness of AI integrations, iterating rapidly in response to model performance metrics and ensuring alignment with partner feedback and traction in market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best-practice documentation and integration guides aimed at empowering partners, streamlining the adoption of </w:t>
      </w:r>
      <w:r w:rsidRPr="00106EA3">
        <w:rPr>
          <w:rFonts w:ascii="Roboto Light" w:eastAsia="Roboto Light" w:hAnsi="Roboto Light" w:cs="Roboto Light"/>
          <w:b/>
          <w:bCs/>
          <w:sz w:val="20"/>
          <w:szCs w:val="20"/>
        </w:rPr>
        <w:t xml:space="preserve">Firecrawl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their products with user-centric technical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partnership opportunities through the analysis of AI tools, identifying gaps in the data marketplace and positioning </w:t>
      </w:r>
      <w:r w:rsidRPr="00106EA3">
        <w:rPr>
          <w:rFonts w:ascii="Roboto Light" w:eastAsia="Roboto Light" w:hAnsi="Roboto Light" w:cs="Roboto Light"/>
          <w:b/>
          <w:bCs/>
          <w:sz w:val="20"/>
          <w:szCs w:val="20"/>
        </w:rPr>
        <w:t xml:space="preserve">Firecrawl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go-to API for web data extraction.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up-to-date testing of new AI models and frameworks, maintaining a proactive adaptation strategy to keep </w:t>
      </w:r>
      <w:r w:rsidRPr="00106EA3">
        <w:rPr>
          <w:rFonts w:ascii="Roboto Light" w:eastAsia="Roboto Light" w:hAnsi="Roboto Light" w:cs="Roboto Light"/>
          <w:b/>
          <w:bCs/>
          <w:sz w:val="20"/>
          <w:szCs w:val="20"/>
        </w:rPr>
        <w:t xml:space="preserve">Firecrawl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at optimal levels amidst evolving technologies in the AI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evaluation frameworks designed to assess prompt quality across different models and use cases, allowing for data-driven decisions and continual enhancement of the </w:t>
      </w:r>
      <w:r w:rsidRPr="00106EA3">
        <w:rPr>
          <w:rFonts w:ascii="Roboto Light" w:eastAsia="Roboto Light" w:hAnsi="Roboto Light" w:cs="Roboto Light"/>
          <w:b/>
          <w:bCs/>
          <w:sz w:val="20"/>
          <w:szCs w:val="20"/>
        </w:rPr>
        <w:t xml:space="preserve">Firecrawl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effective coding practices for AI integration, fostering a culture of knowledge-sharing and continuous improvement within the team to elevate overall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asynchronous communication protocols within the engineering team, greatly improving workflows and ensuring timely delivery of project milestones corresponding to evolving partnership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scripts to automate repetitive testing processes, allowing for increased efficiency in deployment cycles, while actively collaborating to troubleshoot issues that arose during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all integrations ensuring knowledge transfer visibility, which enhanced team alignment on project goals and improved onboarding experiences for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projects focused on enhancing partner solutions with </w:t>
      </w:r>
      <w:r w:rsidRPr="00106EA3">
        <w:rPr>
          <w:rFonts w:ascii="Roboto Light" w:eastAsia="Roboto Light" w:hAnsi="Roboto Light" w:cs="Roboto Light"/>
          <w:b/>
          <w:bCs/>
          <w:sz w:val="20"/>
          <w:szCs w:val="20"/>
        </w:rPr>
        <w:t xml:space="preserve">Firecrawl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technical implementations were aligned with strategic goals and scalable towards future technological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cross-departmental collaboration to unite product designs and technical capabilities, enabling coherent roadmaps that anticipated partner needs and responded to market trends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in cross-platform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the delivery of highly responsive user interfaces that engage and retain users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the adoption of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communication and reducing backlog delivery times through regular sprints and retrospective evaluations focusing on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to ensure adherence to industry best practices, contributing to the overall code quality and maintainability of projects while mentoring junior developers in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high-availability web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optimizing resource management and achieving significant improvements in application performance and stability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minimizing downtime while ensuring that code changes were continuously integrated and delivered successfully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internal and external consumption, ensuring that application functionalities were accessible, efficiently enabling integrations with third-party services and facilitating ease of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user-centric applications, ensuring that design objectives aligned with functional requirements, leading to higher user satisfaction ratings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data architectures, effectively handling large datasets while ensuring data integrity and accessibility for analytical querying by business intelligence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align engineering requirements with business objectives, ensuring successful delivery of projects that met strategic goals and provided measurable benefits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through refactoring, achieving clean code standards that improved application maintainability and performance metrics, contributing positively to the overall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junior engineers, contributing to their professional development by providing mentorship opportunities and resources for growth, enhancing team capabilities and fostering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the organization to gather requirements and expectations, translating business needs into technical specifications that guided the development of high-impact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