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back-end technologies and machine learning solutions. Proven track record in building scalable applications and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Pandas, NumPy, DVC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by leveraging cloud-native services for high availability and reliability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deployment to enhance team productivity and streamline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collaborated with cross-functional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open-source culture and ensuring effective communication across multiple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performance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improved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efficient data retrieval process for frontend applications, positively impacting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documentation practices by creating and maintaining comprehensive README files and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onboarding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leadership roles, driving architectural decisions and product feature enhancements through hands-on development, ensuring alignment with business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frontend teams to gather requirements and deliver new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both backend expertise and basic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interface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and utilized analytics tools to refine backend features, ensuring alignment with customer needs and improving overall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for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deployment strategies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team knowledge and standardizing processes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open-source contributions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community engagement while integrating user feedback and issues reported by the community into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project management, ensuring timely delivery of features while actively adapting to changing priorities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storage, implementing complex queries which improved data analytics and insights for product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blogs and discussions aimed at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development tooling, further establishing the company as an industry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exercises and collaborated with remote teams, successfully fostering a healthy work culture that thrives on flexibility and mutual respect.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distributed system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machine learning algorithms into the system to analyze user data for enhancing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refine system interfaces by implementing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engaging and user-friendly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successfully optimizing queries leading to improved application performance and reduced load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with teammates, which promoted knowledge transfer and improved code quality through continuous feedback and shared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process for backend architecture, leading to the creation of a microservices framework that improved deployment and scalability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code coverage while ensuring that applications met the highest quality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 analytics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quantitatively assess project progress and meet strategic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security by implementing authentication protocols and best practices, ensuring sensitive user information was adequately protected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workflows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which significantly reduced response times to support requests and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reviews and retrospectives, focusing on continuous improvement while fostering a positive team environment that encouraged innovative thinking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which streamlined the onboarding process for developers integrating with external services by providing clear guidelines on how to interact with the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innovate solutions for challenging technical problems, fostering a collaborative environment that empowered team members to share and develop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