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Expertise in building scalable systems, optimizing application performance, and collaborating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React, Angular,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Kafka, RabbitMQ, Redis, Terraform,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robustness in handling large datasets and workloads, while continuously learning and adopting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that meets business needs and adapts rapidly to changing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deployment and minimizing time-to-market for features and bug fixes, while maintaining strong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architectures to optimize database interactions and improve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management and faster data retrieval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modern debugging and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operational efficiency, crucial for maintaining high uptime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focusing on scalability and security, allowing for easier integration and consumption by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profiling and optimization exercises, significantly improving application responsiveness by fine-tuning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 processing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a culture of continuous improvement and innovation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fault-tolerant deployments while facilitating streamlined collaboration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into the development process,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enrich product capabilities and drive innovative features that align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product road-mapping discussions, aligning engineering efforts with organizational goals and ensuring technical feasibility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initiatives to improve system security measures, implementing frameworks and guidelines to protect against vulnerabilities, while ensuring compliance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monitoring into the development lifecycle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visibility into system performance and health metrics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 to broaden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effectively bridged the gap between software development and IT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technical debt reduction by modernizing legacy systems, transitioning them to cloud-native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scalability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responsiveness while ensuring seamless integration with existing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refactor and enhance existing software solutions, improving code maintainability and reducing bugs in production through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rich user interfaces that improve user experience and engagement, along with improving overall application load times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strong indexing strategies and data retrieval optimizations to enhance query performance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velocity and ensuring higher reliability of software releases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on best practices, coding standards, and modern tooling, fostering a culture of innovation and efficiency within the team to achieve collective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insights on product performance, enabling rapid iterations and feature enhancements that aligned with end-user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to ensure that software engineering practices aligned with organizational standards and regulatory compliance, promoting a transparent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development lifecycles,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thus significantly reducing vulnerabilities in applications while maintaining high-quality standards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innovate new features, capitalizing on trends in emerging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automated testing suites that integrated seamlessly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verification processes and reducing time invested by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between designers, product managers, and engineers to ensure cohesive product development and alignment toward user-centric goals, enhancing project outcomes with shared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