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full stack development, specializing in web and mobile applications. Proven expertise in cloud environments, distributed systems, and advanced Microsoft tech stack including Azure and C#. Strong mentor and collaborator, dedicated to delivering high-quality, scalable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SQL, SQL Server, Redis, Azure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RabbitMQ,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support applications for HungerRush 360, ensuring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compliance with best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new architectures for backend services while mentoring junior engineers in adopting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essential for critical systems integration and efficient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ensuring maintainability, as well as collaborating closely with UX teams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existing applications, resulting in improved efficiency and reduced time-to-market for innovative features that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 pipelines to uphold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across cloud environments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serverless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in adopting agile practices, emphasizing collaboration, adaptability in response to changing business requirements, and the importance of reflective learning through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 cycles, from requirement gathering and system analysis through to coding and release management, coordinating with stakeholders to ensure alignment with overall business objectives and technological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in production systems involving real-time data processing and service integrations, ensuring minimal downtime and exceptional customer service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 high-availability system that integrates seamless order processing functionalities and enhances customer engagement through advanced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consumer-facing web applications at Microsoft, utilizing both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overall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dynamic team environment to develop distributed systems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application scalability and performance based on internal service metrics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align with modern web standards and enrich user experiences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contributed to knowledge-sharing sessions that encouraged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team-based development, fostering a rich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to integrate microservices, ensuring seamless data exchange between front-end applications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profiling tools to identify bottlenecks within applications, resulting in optimized query performance and streamlined data retrieval processes across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advisory boards to better understand user needs and market trends, translating insights into actionable development priorities that aligned with the company's vision and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planning and task management, ensuring meticulous tracking of development progress, team collaboration, and adherence to established timelines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