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developing high-performance backend solutions and network data observability systems, particularly within remote teams. Proven success in utilizing Go, Node.js, and various data analytics tools to deliver innovative applications in web and cloud environments while enhancing system capabilities. Strong collaborative skills and a commitment to excellence fuel my ability to lead projects that optimize performance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Rust, Python,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React, gRPC, Kafka,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Cassandra, InfluxDB,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Observability:</w:t>
      </w:r>
      <w:r w:rsidRPr="00745DD3">
        <w:rPr>
          <w:rFonts w:ascii="Roboto Light" w:eastAsia="Roboto Light" w:hAnsi="Roboto Light" w:cs="Roboto Light"/>
          <w:color w:val="404040" w:themeColor="text1" w:themeTint="BF"/>
          <w:sz w:val="20"/>
          <w:szCs w:val="20"/>
        </w:rPr>
        <w:t xml:space="preserve"> IPFIX, NetFlow, sFlow, SNMP, BGP, DNS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GitHub, Haproxy, Envoy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microservices architecture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performance and reliability across critical network observability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high-availability backend services for processing and analyzing vast amounts of network telemetry data by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solution in a high-demand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migrating legacy systems to cloud-native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infrastructure management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communication between frontend applications and backend data services, enhancing overall system responsiveness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pipelines, ensuring smooth ingestion and flow of network metrics while maintaining high throughput and low latency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improvements in network observability tools by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optimizing query response times, and enhancing end-user experience across large-scale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and testing for better software quality assurance and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 sharing sessions to foster a collaborative team culture, enhancing the overall skill level and facilitating efficient problem-solving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observability frameworks to track performance metrics and failures, leading to meaningful incident resolution and proactive system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solutions for backend services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service-specific tools to ensure code quality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onboarding and training of new engineers, imparting knowledge of best practices in software development,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network observability principles for effective team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critical issues impacting service availability and performance, implementing appropriate fixes that improved system resilience and fortified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product direction and strategy by working closely with product management to align technical improvements with customer demands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data handling processes to protect sensitive information and ensure compliance with industry standards like GDPR and CCPA.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developer community by attending conferences and meetups to share insights on trends in </w:t>
      </w:r>
      <w:r w:rsidRPr="00745DD3">
        <w:rPr>
          <w:rFonts w:ascii="Roboto Light" w:eastAsia="Roboto Light" w:hAnsi="Roboto Light" w:cs="Roboto Light"/>
          <w:b/>
          <w:bCs/>
          <w:color w:val="404040" w:themeColor="text1" w:themeTint="BF"/>
          <w:sz w:val="20"/>
          <w:szCs w:val="20"/>
        </w:rPr>
        <w:t xml:space="preserve">network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staying updated on advancements 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performance and user experience while maintaining best coding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gradual migrations of monolithic applications to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modular deployment and scalability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support automated quality assurance processes, leading to higher code maintainability and reduction in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deliver solutions that met customer needs, harnessing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effective communication skills to ensure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database models and designed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interactions for improved application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optimization of backend services, employing profiling tools to analyze and resolve bottlenecks in data processing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monitoring and alert systems for backend processes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resolution and system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third-party APIs into applications, ensuring seamless functionality and ease of use across a diverse range of services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fostering an environment of continuous learning and collaboration that resulted in improved team dynamics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deployment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efficient version control and rapid deployment capabilities to meet dynamic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technical issues across production and test environments, collaborating with support teams to provide timely solutions that minimized customer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security audits and compliance checks, implementing changes to enhance application security and ensure adherence to best practices and regulatory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