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experience in software development, specializing in Analytics Engineering and data solutions for web and mobile applications. Proven ability to transform raw data into actionable insights through effective data architecture, rigorous technical standards, and a deep understanding of business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Tools:</w:t>
      </w:r>
      <w:r w:rsidRPr="00745DD3">
        <w:rPr>
          <w:rFonts w:ascii="Roboto Light" w:eastAsia="Roboto Light" w:hAnsi="Roboto Light" w:cs="Roboto Light"/>
          <w:color w:val="404040" w:themeColor="text1" w:themeTint="BF"/>
          <w:sz w:val="20"/>
          <w:szCs w:val="20"/>
        </w:rPr>
        <w:t xml:space="preserve"> Databricks, Tableau, Power BI, Looker,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Pandas, NumPy, FastAPI, Flask,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Databricks,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xml:space="preserve"> ETL, Data Lakes, Data Warehousing, Dimensional Modeling, Data Governance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end-to-end 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transformed ambiguous business requirements into actionable insights, significantly enhancing decision-making processes and aligning closely with the leadership's strategy.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dimensional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optimized 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performance across various analytics dashboards, leading to a more efficient and user-friendly data representation for executive use.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