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building scalable tools utilizing AI, automation, and modern engineering practices for B2B SaaS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FastAPI, Flask, Tailwind,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OpenAI, Anthropic, VertexAI,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Salesforce, Twilio, Slack, Clay, Outreach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streamline the go-to-market process, enhancing </w:t>
      </w:r>
      <w:r w:rsidRPr="00745DD3">
        <w:rPr>
          <w:rFonts w:ascii="Roboto Light" w:eastAsia="Roboto Light" w:hAnsi="Roboto Light" w:cs="Roboto Light"/>
          <w:b/>
          <w:bCs/>
          <w:color w:val="404040" w:themeColor="text1" w:themeTint="BF"/>
          <w:sz w:val="20"/>
          <w:szCs w:val="20"/>
        </w:rPr>
        <w:t xml:space="preserve">sales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cross-functional collaboration among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by adopting a user-centric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solutions that automate data processes, utilizing frameworks such as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execution of tasks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GTM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end-users to gather feedback, iterating on tools to meet rising demands and improve </w:t>
      </w:r>
      <w:r w:rsidRPr="00745DD3">
        <w:rPr>
          <w:rFonts w:ascii="Roboto Light" w:eastAsia="Roboto Light" w:hAnsi="Roboto Light" w:cs="Roboto Light"/>
          <w:b/>
          <w:bCs/>
          <w:color w:val="404040" w:themeColor="text1" w:themeTint="BF"/>
          <w:sz w:val="20"/>
          <w:szCs w:val="20"/>
        </w:rPr>
        <w:t xml:space="preserve">productivity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ahead of market trends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 libraries to facilitate the rapid deployment of new features, ensuring code compliance with industry standards while promoting consistency across various applications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applying best practices in software engineering, including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production-level code is reliable and maintainable.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prototypes based on stakeholder requirements, transforming complex ideas into actionable development plans to accelerate the development lifecycle without compromising quality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comprehensive documentation for new tools, ensuring all stakeholders can easily utilize and troubleshoot solutions that are implemented within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analysis and visual representation of customer engagement metrics, contributing to the design of intuitive dashboards that enhance decision-making for the leadership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pipeline practices for continuous integration and delivery, ensuring a seamless deployment process for assets and allowing for rapid iteration on user feedback and market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approaches to validate features prior to their release, significantly reducing post-deployment issues and enhancing user satisfaction with newly introduced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software solutions tailored to end-user feedback, embedding communication channels within applications to promote transparency and direct engagement with end-users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need for robust error handling and logging mechanisms in developed tools to ensure operational continuity and to effectively troubleshoot any emerging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coding standards and best practices for the </w:t>
      </w:r>
      <w:r w:rsidRPr="00745DD3">
        <w:rPr>
          <w:rFonts w:ascii="Roboto Light" w:eastAsia="Roboto Light" w:hAnsi="Roboto Light" w:cs="Roboto Light"/>
          <w:b/>
          <w:bCs/>
          <w:color w:val="404040" w:themeColor="text1" w:themeTint="BF"/>
          <w:sz w:val="20"/>
          <w:szCs w:val="20"/>
        </w:rPr>
        <w:t xml:space="preserve">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workshops to educate colleagues about the tools and technologies adopted by the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fostering a unified approach to problem-solving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refine software development processes, continuously assessing and responding to changing project requirements or team dynamics to improve overall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integrating backend and frontend technologies, focusing on user experience and system performance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seamless workflow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comprehensive technical specifications and development plans to enhance application functionality for wider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services for application deployment,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to ensure high availability and scalability of developed software applications to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testing strategies and ensure applications were rigorously validated against user specifications, enabling a high standard of code quality and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to review progress and address blockers, fostering a team atmosphere of transparency and agility that encouraged rapid problem resolution and shared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APIs, utilizing tools like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communication capabilities within applications, allowing for greater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tests to automate regression testing and promote a stable codebase, ensuring applications met the quality expectations set forth by both engineering and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and knowledge sharing within the </w:t>
      </w:r>
      <w:r w:rsidRPr="00745DD3">
        <w:rPr>
          <w:rFonts w:ascii="Roboto Light" w:eastAsia="Roboto Light" w:hAnsi="Roboto Light" w:cs="Roboto Light"/>
          <w:b/>
          <w:bCs/>
          <w:color w:val="404040" w:themeColor="text1" w:themeTint="BF"/>
          <w:sz w:val="20"/>
          <w:szCs w:val="20"/>
        </w:rPr>
        <w:t xml:space="preserve">development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competence through coaching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the performance of existing applications by employing optimization techniques for both front-end and back-end logic, improving loading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sprint reviews and retrospectives, helping identify areas for improvement in workflows and advocating for alternate strategies that spurred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 the transition to microservices architecture, utilizing containerization tools to ensure seamless application deployment and scaling based on varying user demands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models and defined relationships to optimize data retrieval processes, relying on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access and manipulation of critical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