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development, proficient in Ruby on Rails, JavaScript, and ReactNative. Expertise in delivering scalable solutions and optimizing user experiences through data-driven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React Native, RSpec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Agile, CI/CD, TDD,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while adhering to industry standards and best practices for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interactivity and data flow efficiency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code reviews, providing valuable feedback on design patterns and implementation strategies to enhance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 and improve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facilitate communication between the client and server, ensuring seamless integration and data exchange between various components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performance tuning and scaling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strategies to optimize page load times and overall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codebases, systems architectures, and operational procedures to promote knowledge sharing and maintainable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hosting of applications, streamlining the CI/CD pipeline for rapid development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ceremonies, fostering an environment of open communication and collaboration to ensure project milestones were met with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trends, integrating cutting-edge solutions into development processes to enhance user engagement and overall application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of applications before deployment, minimizing potential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that adhere to responsive design principles, ensuring seamless access across a range of devices and screen sizes while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align development efforts with business objectives, demonstrating adaptability and responsiveness to changing project needs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and maintained database schemas, ensuring efficient data retrieval and storage practices through careful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efficiency in delivering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for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dynamic user experiences catered to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craft user-centric software solutions, incorporating their feedback to refine features and ensure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releases and system stability across multiple platforms, reducing the occurrence of user-reported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to the design and planning of a microservices architecture aimed at improving system modularity and scalability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data visualization and operational efficiency for customer relationship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accelerating project timelines while maintaining rigorous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technical documentation and training sessions, empowering team members by providing insights into best practices and emerging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with QA teams, effectively resolving issues reported during user acceptance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throughout the development lifecycle, ensuring that technical solutions were aligned with business requirements and market strategies across multiple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rituals and ceremonies to promote a culture of collaboration and adaptability within an agile framework, reinforcing team spirit and shared accountability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performance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response times and overall efficiency for critical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