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 III</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focusing on design and implementation of high-performance web and mobile applications. Highly proficient in JavaScript, TypeScript, and various AdTech frameworks like Prebid.js and Google Ad Manager. Committed to delivering robust, scalable solutions that enhance user experience and revenue generation for publishers.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Node.js,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AdTech Frameworks:</w:t>
      </w:r>
      <w:r w:rsidRPr="00745DD3">
        <w:rPr>
          <w:rFonts w:ascii="Roboto Light" w:eastAsia="Roboto Light" w:hAnsi="Roboto Light" w:cs="Roboto Light"/>
          <w:color w:val="404040" w:themeColor="text1" w:themeTint="BF"/>
          <w:sz w:val="20"/>
          <w:szCs w:val="20"/>
        </w:rPr>
        <w:t xml:space="preserve"> Prebid.js, Google Ad Manager, Header Bidding, OpenRTB, SSP Integration, Ad Server Technologies, Consent Management Platforms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jQuery, Webpack, Babel,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Google Cloud Platform,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Jest, Mocha, Chai, Cypress, Selenium, Postman,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 III</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high-performance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Ad services that operate in client-side environments under various browsers, emphasizing on reducing latency and maximizing ad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client-side </w:t>
      </w:r>
      <w:r w:rsidRPr="00745DD3">
        <w:rPr>
          <w:rFonts w:ascii="Roboto Light" w:eastAsia="Roboto Light" w:hAnsi="Roboto Light" w:cs="Roboto Light"/>
          <w:b/>
          <w:bCs/>
          <w:color w:val="404040" w:themeColor="text1" w:themeTint="BF"/>
          <w:sz w:val="20"/>
          <w:szCs w:val="20"/>
        </w:rPr>
        <w:t xml:space="preserve">identity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privacy compliance utilizing frameworks such as </w:t>
      </w:r>
      <w:r w:rsidRPr="00745DD3">
        <w:rPr>
          <w:rFonts w:ascii="Roboto Light" w:eastAsia="Roboto Light" w:hAnsi="Roboto Light" w:cs="Roboto Light"/>
          <w:b/>
          <w:bCs/>
          <w:color w:val="404040" w:themeColor="text1" w:themeTint="BF"/>
          <w:sz w:val="20"/>
          <w:szCs w:val="20"/>
        </w:rPr>
        <w:t xml:space="preserve">GPC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secure environment for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consent management flows that actively enforce data regulations, ensuring compliance across multiple advertising platforms, which involved significant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and contributed to improving code quality, guiding peers and interns towards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across all stages of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feature development through AGILE methodologies, facilitating standups and sprint retrospectives to gather feedback, adaptively shaping development priorities to meet business objectives and clients’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through all phases of development with extensive details on functionality, architecture, and technical debt management, ensuring clarity and continuity for future engineer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reliable environment for continuous integration, thereby enhancing software reliability while reducing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AI-assisted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workflows, which streamlined the processes associated with code management and increased output quality and team collaboration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feature enhancements based on user analytics, adapting identity frameworks and consent systems in response to real-time metrics gathered from numerous publisher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brainstorming sessions that aligned engineering capabilities with business goals, ensuring features delivered significant value and drove revenue growth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identifying risks early in the development process by fostering a culture of proactive communication and detailing impactful solutions that assisted in risk mitigation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experience across various platforms by tailoring ad delivery based on actionable insights gathered from performance metrics, thereby successfully driving engagement from targeted audiences.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client-side </w:t>
      </w:r>
      <w:r w:rsidRPr="00745DD3">
        <w:rPr>
          <w:rFonts w:ascii="Roboto Light" w:eastAsia="Roboto Light" w:hAnsi="Roboto Light" w:cs="Roboto Light"/>
          <w:b/>
          <w:bCs/>
          <w:color w:val="404040" w:themeColor="text1" w:themeTint="BF"/>
          <w:sz w:val="20"/>
          <w:szCs w:val="20"/>
        </w:rPr>
        <w:t xml:space="preserve">identity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Prebid.js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clients maximize revenue while honoring user choices, which showcased adaptability and deep understanding of user rights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teams on best practices in coding standards, including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 utilization, fostering a collaborative and knowledge-sharing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several initiatives that leveraged customer feedback into actionable insights for future ad technologies, enhancing the overall capability of the ad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operational efficiency, influencing user retention and satisfaction metrics meaningfully without relying heavily on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scalable architectures for various internal tools, focusing on modular designs that separate functionality between front-end and back-end seamlessly, promoting efficient code reuse.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that required collaboration with product managers, UX/UI designers, and QA specialists to ensure seamless delivery of application features aligning with overall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by providing guidance on coding techniques and industry best practices, which helped instill a sense of ownership and high standards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integrating CI/CD pipelines that leveraged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while maintaining high software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scaling efforts for existing applications by refactoring critical components, resulting in improved performance and easier maintainability without compromising user experience or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software development cycles, involving techniques such as iterative development and continuous feedback to improve product offerings and timely deliverable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and sales teams to tailor ad technologies, aligning engineering capabilities with business needs and ensuring consistent messaging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drove a project focused on improving identity resolution mechanisms through utilization of </w:t>
      </w:r>
      <w:r w:rsidRPr="00745DD3">
        <w:rPr>
          <w:rFonts w:ascii="Roboto Light" w:eastAsia="Roboto Light" w:hAnsi="Roboto Light" w:cs="Roboto Light"/>
          <w:b/>
          <w:bCs/>
          <w:color w:val="404040" w:themeColor="text1" w:themeTint="BF"/>
          <w:sz w:val="20"/>
          <w:szCs w:val="20"/>
        </w:rPr>
        <w:t xml:space="preserve">OpenRTB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showcasing strong problem-solving capabilities and initiative.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suites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features were correctly implemented and functional before releases, thus enhancing the overall product quality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about software changes, methodologies, and coding standards, providing clear reference points for team members and enabling smooth knowledge transfer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internal libraries to support faster </w:t>
      </w:r>
      <w:r w:rsidRPr="00745DD3">
        <w:rPr>
          <w:rFonts w:ascii="Roboto Light" w:eastAsia="Roboto Light" w:hAnsi="Roboto Light" w:cs="Roboto Light"/>
          <w:b/>
          <w:bCs/>
          <w:color w:val="404040" w:themeColor="text1" w:themeTint="BF"/>
          <w:sz w:val="20"/>
          <w:szCs w:val="20"/>
        </w:rPr>
        <w:t xml:space="preserve">header bidding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which improved the overall responsiveness of ad inventory and directly impacted revenue.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