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9 years of experience in software development, specializing in web and mobile applications. Proven track record in designing scalable infrastructure systems and optimizing Kubernetes deployments for reliable ML applications, with expertise in Go, Python, and cloud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TypeScript, Rust, Java,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DigitalOcean, Crusoe, Nebius,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Monitoring:</w:t>
      </w:r>
      <w:r w:rsidRPr="00745DD3">
        <w:rPr>
          <w:rFonts w:ascii="Roboto Light" w:eastAsia="Roboto Light" w:hAnsi="Roboto Light" w:cs="Roboto Light"/>
          <w:color w:val="404040" w:themeColor="text1" w:themeTint="BF"/>
          <w:sz w:val="20"/>
          <w:szCs w:val="20"/>
        </w:rPr>
        <w:t xml:space="preserve"> Kubernetes, Prometheus, Grafana, Istio, Terraform, Helm, ELK Stack, OpenTelemetry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 &amp; Data Engineering:</w:t>
      </w:r>
      <w:r w:rsidRPr="00745DD3">
        <w:rPr>
          <w:rFonts w:ascii="Roboto Light" w:eastAsia="Roboto Light" w:hAnsi="Roboto Light" w:cs="Roboto Light"/>
          <w:color w:val="404040" w:themeColor="text1" w:themeTint="BF"/>
          <w:sz w:val="20"/>
          <w:szCs w:val="20"/>
        </w:rPr>
        <w:t xml:space="preserve"> MLOps, TensorFlow, PyTorch, Apache Kafka, Airflow, NVIDIA CUDA, ONNX, TF Serving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Microservices, gRPC, RESTful APIs, GraphQL, Consul, Zookeeper, RabbitMQ,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led development of a scalable </w:t>
      </w:r>
      <w:r w:rsidRPr="00745DD3">
        <w:rPr>
          <w:rFonts w:ascii="Roboto Light" w:eastAsia="Roboto Light" w:hAnsi="Roboto Light" w:cs="Roboto Light"/>
          <w:b/>
          <w:bCs/>
          <w:color w:val="404040" w:themeColor="text1" w:themeTint="BF"/>
          <w:sz w:val="20"/>
          <w:szCs w:val="20"/>
        </w:rPr>
        <w:t xml:space="preserve">ML inference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model deployment and monitoring for high-demand AI applications, improving operational efficiency and ensuring consistent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infrastructure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significantly streamlining </w:t>
      </w:r>
      <w:r w:rsidRPr="00745DD3">
        <w:rPr>
          <w:rFonts w:ascii="Roboto Light" w:eastAsia="Roboto Light" w:hAnsi="Roboto Light" w:cs="Roboto Light"/>
          <w:b/>
          <w:bCs/>
          <w:color w:val="404040" w:themeColor="text1" w:themeTint="BF"/>
          <w:sz w:val="20"/>
          <w:szCs w:val="20"/>
        </w:rPr>
        <w:t xml:space="preserve">ML deployment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reducing deployment times and enabling teams to focus on core development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optimization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for efficient cost-effective model serving, incorporating sophisticated scaling techniques that improved resource utilization and enhanced system responsiveness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complex </w:t>
      </w:r>
      <w:r w:rsidRPr="00745DD3">
        <w:rPr>
          <w:rFonts w:ascii="Roboto Light" w:eastAsia="Roboto Light" w:hAnsi="Roboto Light" w:cs="Roboto Light"/>
          <w:b/>
          <w:bCs/>
          <w:color w:val="404040" w:themeColor="text1" w:themeTint="BF"/>
          <w:sz w:val="20"/>
          <w:szCs w:val="20"/>
        </w:rPr>
        <w:t xml:space="preserve">inference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providing robust support for diverse model deployments and enabling faster iterations in AI model training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comprehensive monitoring strategies for model performance, leveraging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actionable insights on latency and resource utilization for proactive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translated intricate inference requirements into technical solutions, fostering alignment across teams and ensuring that architectural decisions balanced performance with system reliability, enhancing overall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infrastructure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innovation while facilitating knowledge sharing that empowered team members to contribute more effectively in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long-term technical strategy and infrastructure roadmap by analyzing industry trends and aligning infrastructural investments with evolving AI customer demands for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GPU capacity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establishing efficient pipelines for model serving that leveraged cutting-edge </w:t>
      </w:r>
      <w:r w:rsidRPr="00745DD3">
        <w:rPr>
          <w:rFonts w:ascii="Roboto Light" w:eastAsia="Roboto Light" w:hAnsi="Roboto Light" w:cs="Roboto Light"/>
          <w:b/>
          <w:bCs/>
          <w:color w:val="404040" w:themeColor="text1" w:themeTint="BF"/>
          <w:sz w:val="20"/>
          <w:szCs w:val="20"/>
        </w:rPr>
        <w:t xml:space="preserve">NVIDIA H100 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thus optimizing throughput for machine learning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developing observability systems for infrastructure, implementing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visibility into application performance, which informed necessary adjustments for infrastructure scaling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multi-cloud capacity management strategies that facilitated seamless transitions and deployments in environments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service reliability and performance were consistently upheld.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working environment that emphasized team collaboration and adaptability in the face of rapid technological changes, helping to build a resilient engineering culture supportive of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enhancing the security of the infrastructure through the introduction of industry-standard practices and tools, effectively safeguarding sensitive data across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the development of training protocols for team members focused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enhancing overall team capabilities and preparing for future AI deployment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risk assessment strategies for infrastructure changes, ensuring reliable updates and minimizing disruption by incorporating best practices for staging and rollback mechanisms.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design and implement robust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 while ensuring that applications could meet the dynamic needs of users and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cloud-native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strategies to utilize serverless technologies effectively, thereby improving cost efficiency and operational flexibility alongside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large-scale applications, focusing on both front-end and back-end performance metrics that significantly enhanced user experiences across Microsoft platforms and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research and product teams to prototype and develop applications that utilized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 capabilities, aiming to enrich user interactions and provide advanced solutions tailored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CI/CD pipelines with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cycles and ensuring systematic integration of new features and fixes across software applications, enhancing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redundancy and failover strategies in applications, ensuring high availability and disaster recovery across Microsoft’s infrastructure, thus bolstering reliability for critical software systems utilized by millions.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development workflows and consistency across various environments, while also driving adoption of microservices architecture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around cloud scalability, emphasizing the importance of well-defined interfaces and service decoupling, which drove forward-thinking solutions for software challenges during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to establish coding standards and best practices for team members, enhancing code quality and fostering a collaborative atmosphere for software development that encouraged peer review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learning and integrating emerging technologies into the product stack, demonstrating adaptability and a commitment to continuous improvement in software engineering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 transfer sessions regarding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increasing team competency in utilizing these technologies for existing and new projects, thereby boosting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of telemetry and logging solutions in applications, leveraging technologies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insights and diagnostics, greatly benefiting ongoing maintenance and future development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