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 development. Expertise in modern technologies including Node.js, React, and Snowflake. Proven ability to deliver high-quality solutions through collaboration and innovative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SQL, NoSQL,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MySQL, MongoDB, PostgreSQL, Redis, GraphQL, Elasticsearch,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GitHub Actions,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RESTful APIs, Microservices, DevOps, TDD, Bash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responsive user interfaces with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front-end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management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 volumes of data processing and retrieval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alignment on project objectives and deliverables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enhancing team performance and promoting best practices in clean code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application issues across the entire stack, efficiently identifying root causes and implementing robust solutions to enhance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facilitating efficient team collaboration on diverse technical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 and emerging technologies, integrating best practices into daily engineering workflows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application lifecycle to safeguard sensitive data and improve overall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performance improvements, enabling faster data retrieval and analysis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deployment process across multiple environments, ensuring stability and adherence to organizational policies during application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features in web applications, ensuring compliance with web standards and enhancing user experience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apps, streamlining deployment and scaling across various environments while maintaining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specifications and user manuals, fostering better understanding and engagement with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effectively communicating project updates and adapting to changing priorities to align with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 to enhance functionality and improve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richer user experience through effective UI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robust APIs, enhancing data processing capabilities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design and implement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integrity for business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applications, enhancing modular development practices and facilitating easier scalability and maintenance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legacy code, ensuring compliance with the latest coding standards while integrating automated testing practices for ongoing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conducting training sessions for the engineering team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scripts and development tools, vastly improving productivity and reducing manual intervention in the workload.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analytics to drive iterative enhancements and align features with user needs, increasing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to manage and process information flows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transformations for easier analysis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front-end interfaces to align with client branding and usability preferences, enhancing overall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partners during integration events, ensuring seamless communication and project timelines across multiple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