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full-stack development with a keen focus on AI and Data Products. Proven ability to implement complex software solutions using modern frameworks and technologies, delivering user-centric applications that optimize financial behaviors.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HTML, CSS, GraphQL,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Apollo, FastAPI, Django,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 (S3, Lambda, EC2), Git, Webpack, Babel,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MLflow, Jupyter Notebook,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Postman, Sentry,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Full Stack Engineer, AI &amp; Data Products | Point B - Remote in Seattle, WA | Sep 2020 – Aug 2025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| Microsoft - Irvine, CA | Jul 2017 – Jun 2020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contributing to the design and implementation of innovative financial applications,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 analytics to enhance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back-end services, ensuring robust functionality while maintaining a focus on performance and reliability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the front 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data retrieval processes and improving overall component efficacy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responsibility for complex projects from initiation to deployment, fostering a culture of rapid iteration to ensure alignment with user needs while maintaining high coding standards through regular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conceptual application architecture to deployment on cloud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for efficient management of services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engineers, promoting best practices in coding, design, and collaboration, which enhanced team productivity and knowledge sharing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future-proof scaling techniques, ensuring all solutions are built with a focus on extensibility and maintainability,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machine learning insights to contribute to AI-based features, ensuring seamless integration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aiding in the production of user-targeted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design discussions to identify areas for optimization and improvement, enhancing system functionality and aligning with evolving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innovation within the team, actively introducing tools and methodologies that improved workflows and efficiency, such as automated testing and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use of analytics to inform feature development, enhancing products based on user feedback and data-driven decisions gathered from various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relationship with data scientists to align software development efforts with machine learning objectives, contributing to meaningful applications that resonate significantly with users'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user-centric features entailing complex financial data representation, utilizing modern UI frameworks to enhance usability and accessibility for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query performance and data integrity while collaborating with front-end teams to synchronize data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requirements, ensuring the technical implications of product decisions were thoroughly understood and accounted for.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