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Skilled Senior Software Engineer with over 11 years of experience in software development, specializing in web and mobile applications. Proven track record in delivering solutions that meet public sector security and privacy standards while actively collaborating with cross-functional teams to drive successful project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Rust, C#, Java, Go, JavaScript, Python, TypeScript,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Node.js, Express.js, Django, Flask,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GCP, Azure, Docker, Kubernetes, Terraform,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PostgreSQL, MongoDB, Redis, MySQL, Oracle, Elasticsearch, GraphQL,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OAuth, OpenID Connect, JWT, SSL/TLS, GDPR, HIPAA, SOC 2, ISO 27001</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backend software solutions in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public sector use, enhancing data security while meeting strict compliance regulations and significantly improving service reliability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deploying full-stack applications that integrated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resulting in robust and secure systems for government partners tailored to their unique identity management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directly with state government clients to translate complex requirements into technical solutions, fostering trust through meticulous project management and clear communication about progress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web applications compliant with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accessibility standards, ensuring usability for diverse populations and addressing critical feedback from users during beta testing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evolution of a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application, which improved deployment speed and accessibility for remote state agencies by leveraging automated testing techniques in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containerization strategies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deployment process across different environments, increasing productivity and minimizing deployment issues during client transitions.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software development best practices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fostering a culture of continuous improvement and collaborative problem-solving across project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to build user-centric interfaces, ensuring optimal user experience in public sector applications, informed by user feedback and data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microservices with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handling and microservices architecture for better modularity and maintainability in ongoing projects for state government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 workshops to present and educate on adopting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within identity solutions, demonstrating potential enhancements to existing systems and emerging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retrieval processes, significantly enhancing performance and responsiveness of web applications for government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audits and code reviews to adhere to </w:t>
      </w:r>
      <w:r w:rsidRPr="00745DD3">
        <w:rPr>
          <w:rFonts w:ascii="Roboto Light" w:eastAsia="Roboto Light" w:hAnsi="Roboto Light" w:cs="Roboto Light"/>
          <w:b/>
          <w:bCs/>
          <w:color w:val="404040" w:themeColor="text1" w:themeTint="BF"/>
          <w:sz w:val="20"/>
          <w:szCs w:val="20"/>
        </w:rPr>
        <w:t xml:space="preserve">ISO 27001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ensuring data integrity and compliance with legal industry mandates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Sprint methodologies to facilitate effective project coordination, resulting in timely product delivery and fostering a collaborative spirit among engineering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public sector partners in adopting cloud infrastructure changes, ensuring smooth transitions and operational continuity through effective change management strategies and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comprehensive post-deployment support for clients, addressing technical inquiries related to our identity management solutions while enhancing customer satisfaction through proactive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enterprise-scale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high-quality software solutions that align with business requirements while significantly reducing operational overhead.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developing a secure and accessible web platform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introducing user-focused features that enhanced the usability and overall performance of the corporate suite of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collaboration to ensure project alignment with industry standards such as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communicating technical requirements to non-technical stakeholders in the integration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bug-fixing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application functionality, ensuring that all deployments met quality assurance benchmarks and enhanced user experience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deployment process, which enhanced the frequency and reliability of software updates to meet fast-paced project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protocols in compliance with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requirements, significantly bolstering system integrity and user trust through comprehensive security assessments and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database administrators to optimize the performance of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stored procedures, ensuring real-time data availability for business intelligence tools and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and training materials for new team members, promoting knowledge sharing and ensuring adherence to project protocols and best practices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containerized applications at scale, improving system resource management and simplifying the deployment of complex microservice architectures alongside service delivery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key stakeholders to gather application requirements and delivered clear technical specifications, ensuring alignment between software development and organizational objectives throughout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of legacy systems to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front-end applications, modernizing user interfaces that increased user engagement and overall satisfaction by employing contemporary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refine application features and prioritize the development of enhancements based on user feedback from beta testing initiatives, focusing on usability and performance improvements.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