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9 years in software development, specializing in web and mobile applications. Proficient in machine learning and AI solutions for predictive modeling and data analysis, leveraging extensive technical expertise and collaborative abilities to solve complex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Hadoop, Kafka,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FastAPI, React,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advanced techniques for </w:t>
      </w:r>
      <w:r w:rsidRPr="00745DD3">
        <w:rPr>
          <w:rFonts w:ascii="Roboto Light" w:eastAsia="Roboto Light" w:hAnsi="Roboto Light" w:cs="Roboto Light"/>
          <w:b/>
          <w:bCs/>
          <w:color w:val="404040" w:themeColor="text1" w:themeTint="BF"/>
          <w:sz w:val="20"/>
          <w:szCs w:val="20"/>
        </w:rPr>
        <w:t xml:space="preserve">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both traditional statistical models and </w:t>
      </w:r>
      <w:r w:rsidRPr="00745DD3">
        <w:rPr>
          <w:rFonts w:ascii="Roboto Light" w:eastAsia="Roboto Light" w:hAnsi="Roboto Light" w:cs="Roboto Light"/>
          <w:b/>
          <w:bCs/>
          <w:color w:val="404040" w:themeColor="text1" w:themeTint="BF"/>
          <w:sz w:val="20"/>
          <w:szCs w:val="20"/>
        </w:rPr>
        <w:t xml:space="preserve">deep learning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accuracy of biological threat intelligence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(RAG) frameworks, optimizing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processing and application in domain-specific contexts enhancing predictive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forecasting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LSTM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ARIMA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time-series data challenges in the context of emerging health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w:t>
      </w:r>
      <w:r w:rsidRPr="00745DD3">
        <w:rPr>
          <w:rFonts w:ascii="Roboto Light" w:eastAsia="Roboto Light" w:hAnsi="Roboto Light" w:cs="Roboto Light"/>
          <w:b/>
          <w:bCs/>
          <w:color w:val="404040" w:themeColor="text1" w:themeTint="BF"/>
          <w:sz w:val="20"/>
          <w:szCs w:val="20"/>
        </w:rPr>
        <w:t xml:space="preserve">epidemiologists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data into actionable insights, fostering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learning in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data pipelines, ensuring seamless ingestion and validation of both structured and unstructured sources, essential for machine learning preprocessing, enhancing </w:t>
      </w:r>
      <w:r w:rsidRPr="00745DD3">
        <w:rPr>
          <w:rFonts w:ascii="Roboto Light" w:eastAsia="Roboto Light" w:hAnsi="Roboto Light" w:cs="Roboto Light"/>
          <w:b/>
          <w:bCs/>
          <w:color w:val="404040" w:themeColor="text1" w:themeTint="BF"/>
          <w:sz w:val="20"/>
          <w:szCs w:val="20"/>
        </w:rPr>
        <w:t xml:space="preserve">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efficiency and scalability while maintaining high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tailor AI solutions to their unique challenges, ensuring alignment with their missions and providing ongoing support to enhance satisfaction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evaluation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benchmarking </w:t>
      </w:r>
      <w:r w:rsidRPr="00745DD3">
        <w:rPr>
          <w:rFonts w:ascii="Roboto Light" w:eastAsia="Roboto Light" w:hAnsi="Roboto Light" w:cs="Roboto Light"/>
          <w:b/>
          <w:bCs/>
          <w:color w:val="404040" w:themeColor="text1" w:themeTint="BF"/>
          <w:sz w:val="20"/>
          <w:szCs w:val="20"/>
        </w:rPr>
        <w:t xml:space="preserve">model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enabling the team to adhere to high standards in model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retrieval strategies through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access to critical threat intelligence data for both internal and client use, which facilitated rapid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developing </w:t>
      </w:r>
      <w:r w:rsidRPr="00745DD3">
        <w:rPr>
          <w:rFonts w:ascii="Roboto Light" w:eastAsia="Roboto Light" w:hAnsi="Roboto Light" w:cs="Roboto Light"/>
          <w:b/>
          <w:bCs/>
          <w:color w:val="404040" w:themeColor="text1" w:themeTint="BF"/>
          <w:sz w:val="20"/>
          <w:szCs w:val="20"/>
        </w:rPr>
        <w:t xml:space="preserve">Agentic 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in how biological threats are detected and characterized, leading to more proactive and informed public health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risk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partners to make informed decisions in uncertain situations, leveraging quantitative data to highlight potential risks associated with biological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machine learning models to promote version control and streamline deployment processes while maintaining alignment with best practice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cross-functional team collaborations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knowledge sharing and innovative problem-solving strategies that led to the implementation of cutting-edge AI solutions in public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detection of anomalies in health data, which directly contributed to better tracking and management of disease outbreaks.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to outline future vision for AI capabilities, displaying a </w:t>
      </w:r>
      <w:r w:rsidRPr="00745DD3">
        <w:rPr>
          <w:rFonts w:ascii="Roboto Light" w:eastAsia="Roboto Light" w:hAnsi="Roboto Light" w:cs="Roboto Light"/>
          <w:b/>
          <w:bCs/>
          <w:color w:val="404040" w:themeColor="text1" w:themeTint="BF"/>
          <w:sz w:val="20"/>
          <w:szCs w:val="20"/>
        </w:rPr>
        <w:t xml:space="preserve">growth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commitment to continuous improvement in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production-grade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through iterative testing and validation to meet real-world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design and implement feature-rich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scalable applications, leveraging cloud-native technologies to ensure resilience and optimal resource management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analyses, employing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manipulation and transformation, providing insights that drove product enhancements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gathering requirements through deployment to maintenance of key applications, ensuring alignment with client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and sprint reviews to assess progress and adapt workflows in response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orchestration to ensure robust application deployment and management, enhancing operational efficiencies and system stability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efficiently, ensuring traceability and accountability within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discuss product roadmaps, leveraging feedback to identify opportunities for improvement and innovation in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tests to ensure application robustness and usability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user satisfaction and low bug rates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systems and processes, facilitating knowledge sharing and onboarding for new team members while promoting best practices throughout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learning by keeping abreast of emerging technologies within the field of machine learning and application development to stay at the forefront of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