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developing scalable electric grid applications. Proficient in core electric power systems and adept in SDLC methodologies to deliver quality software solutions. Strong background in collaboration and technical communication within grid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Fortran, C, C++, Java, Perl, Python, PL/SQL,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GE EMS FGbuilder, Siemens WebSDK, Apache Maven, Jenkins, Selenium, CIM/XML, Spring,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Systems:</w:t>
      </w:r>
      <w:r w:rsidRPr="00745DD3">
        <w:rPr>
          <w:rFonts w:ascii="Roboto Light" w:eastAsia="Roboto Light" w:hAnsi="Roboto Light" w:cs="Roboto Light"/>
          <w:color w:val="404040" w:themeColor="text1" w:themeTint="BF"/>
          <w:sz w:val="20"/>
          <w:szCs w:val="20"/>
        </w:rPr>
        <w:t xml:space="preserve"> Oracle, SQL Server, Linux, Windows, AIX, Tumblr,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Azure, Bitbucket, Git, GitHub, Nagios, Prometheus,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&amp; Analysis Tools:</w:t>
      </w:r>
      <w:r w:rsidRPr="00745DD3">
        <w:rPr>
          <w:rFonts w:ascii="Roboto Light" w:eastAsia="Roboto Light" w:hAnsi="Roboto Light" w:cs="Roboto Light"/>
          <w:color w:val="404040" w:themeColor="text1" w:themeTint="BF"/>
          <w:sz w:val="20"/>
          <w:szCs w:val="20"/>
        </w:rPr>
        <w:t xml:space="preserve"> CPLEX, AMPL, Gurobi, MATLAB, R, TensorFlow, Scikit-learn, OPTI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variety of grid applications using </w:t>
      </w:r>
      <w:r w:rsidRPr="00745DD3">
        <w:rPr>
          <w:rFonts w:ascii="Roboto Light" w:eastAsia="Roboto Light" w:hAnsi="Roboto Light" w:cs="Roboto Light"/>
          <w:b/>
          <w:bCs/>
          <w:color w:val="404040" w:themeColor="text1" w:themeTint="BF"/>
          <w:sz w:val="20"/>
          <w:szCs w:val="20"/>
        </w:rPr>
        <w:t xml:space="preserve">Fortran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knowledge in </w:t>
      </w:r>
      <w:r w:rsidRPr="00745DD3">
        <w:rPr>
          <w:rFonts w:ascii="Roboto Light" w:eastAsia="Roboto Light" w:hAnsi="Roboto Light" w:cs="Roboto Light"/>
          <w:b/>
          <w:bCs/>
          <w:color w:val="404040" w:themeColor="text1" w:themeTint="BF"/>
          <w:sz w:val="20"/>
          <w:szCs w:val="20"/>
        </w:rPr>
        <w:t xml:space="preserve">power flow studies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state estimation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project deliverables meet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database changes using </w:t>
      </w:r>
      <w:r w:rsidRPr="00745DD3">
        <w:rPr>
          <w:rFonts w:ascii="Roboto Light" w:eastAsia="Roboto Light" w:hAnsi="Roboto Light" w:cs="Roboto Light"/>
          <w:b/>
          <w:bCs/>
          <w:color w:val="404040" w:themeColor="text1" w:themeTint="BF"/>
          <w:sz w:val="20"/>
          <w:szCs w:val="20"/>
        </w:rPr>
        <w:t xml:space="preserve">Oracle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w:t>
      </w:r>
      <w:r w:rsidRPr="00745DD3">
        <w:rPr>
          <w:rFonts w:ascii="Roboto Light" w:eastAsia="Roboto Light" w:hAnsi="Roboto Light" w:cs="Roboto Light"/>
          <w:b/>
          <w:bCs/>
          <w:color w:val="404040" w:themeColor="text1" w:themeTint="BF"/>
          <w:sz w:val="20"/>
          <w:szCs w:val="20"/>
        </w:rPr>
        <w:t xml:space="preserve">grid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following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quality assurance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stakeholders to extract </w:t>
      </w:r>
      <w:r w:rsidRPr="00745DD3">
        <w:rPr>
          <w:rFonts w:ascii="Roboto Light" w:eastAsia="Roboto Light" w:hAnsi="Roboto Light" w:cs="Roboto Light"/>
          <w:b/>
          <w:bCs/>
          <w:color w:val="404040" w:themeColor="text1" w:themeTint="BF"/>
          <w:sz w:val="20"/>
          <w:szCs w:val="20"/>
        </w:rPr>
        <w:t xml:space="preserve">functional and non-functional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them into technical solutions and ensuring alignment with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development processes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and minimizing deployment errors across multiple grid applications and their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validation of </w:t>
      </w:r>
      <w:r w:rsidRPr="00745DD3">
        <w:rPr>
          <w:rFonts w:ascii="Roboto Light" w:eastAsia="Roboto Light" w:hAnsi="Roboto Light" w:cs="Roboto Light"/>
          <w:b/>
          <w:bCs/>
          <w:color w:val="404040" w:themeColor="text1" w:themeTint="BF"/>
          <w:sz w:val="20"/>
          <w:szCs w:val="20"/>
        </w:rPr>
        <w:t xml:space="preserve">grid 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producing reliable deliverables while adhering to regulatory compliance and industry standards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and troubleshooting for </w:t>
      </w:r>
      <w:r w:rsidRPr="00745DD3">
        <w:rPr>
          <w:rFonts w:ascii="Roboto Light" w:eastAsia="Roboto Light" w:hAnsi="Roboto Light" w:cs="Roboto Light"/>
          <w:b/>
          <w:bCs/>
          <w:color w:val="404040" w:themeColor="text1" w:themeTint="BF"/>
          <w:sz w:val="20"/>
          <w:szCs w:val="20"/>
        </w:rPr>
        <w:t xml:space="preserve">Voltage Stability Analysis (VSA)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collaborating with vendors to develop efficient software solutions addressing identified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discussions to ensure grid systems meet performance benchmarks while proposing innovative improvements based on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integration layers among EMS applications using messaging protocols such as </w:t>
      </w:r>
      <w:r w:rsidRPr="00745DD3">
        <w:rPr>
          <w:rFonts w:ascii="Roboto Light" w:eastAsia="Roboto Light" w:hAnsi="Roboto Light" w:cs="Roboto Light"/>
          <w:b/>
          <w:bCs/>
          <w:color w:val="404040" w:themeColor="text1" w:themeTint="BF"/>
          <w:sz w:val="20"/>
          <w:szCs w:val="20"/>
        </w:rPr>
        <w:t xml:space="preserve">Tibco JMS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communication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documentation and training for software enhancements to stakeholders, ensuring comprehensive understanding and adoption of new features in the </w:t>
      </w:r>
      <w:r w:rsidRPr="00745DD3">
        <w:rPr>
          <w:rFonts w:ascii="Roboto Light" w:eastAsia="Roboto Light" w:hAnsi="Roboto Light" w:cs="Roboto Light"/>
          <w:b/>
          <w:bCs/>
          <w:color w:val="404040" w:themeColor="text1" w:themeTint="BF"/>
          <w:sz w:val="20"/>
          <w:szCs w:val="20"/>
        </w:rPr>
        <w:t xml:space="preserve">Energy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for unit and regression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testing efficiency, identifying potential bugs early in the development cycle during multiple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electric power operations requirements to enhance software solutions for </w:t>
      </w:r>
      <w:r w:rsidRPr="00745DD3">
        <w:rPr>
          <w:rFonts w:ascii="Roboto Light" w:eastAsia="Roboto Light" w:hAnsi="Roboto Light" w:cs="Roboto Light"/>
          <w:b/>
          <w:bCs/>
          <w:color w:val="404040" w:themeColor="text1" w:themeTint="BF"/>
          <w:sz w:val="20"/>
          <w:szCs w:val="20"/>
        </w:rPr>
        <w:t xml:space="preserve">contingency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grid reliability and operator decision-making processes through precise tool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integration and data flow designs between EMS applications and downstream systems, optimizing both performance and user experience in real-time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w:t>
      </w:r>
      <w:r w:rsidRPr="00745DD3">
        <w:rPr>
          <w:rFonts w:ascii="Roboto Light" w:eastAsia="Roboto Light" w:hAnsi="Roboto Light" w:cs="Roboto Light"/>
          <w:b/>
          <w:bCs/>
          <w:color w:val="404040" w:themeColor="text1" w:themeTint="BF"/>
          <w:sz w:val="20"/>
          <w:szCs w:val="20"/>
        </w:rPr>
        <w:t xml:space="preserve">Network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ensuring correct CIM model data architecture, leading to successful schema design and implementation of the </w:t>
      </w:r>
      <w:r w:rsidRPr="00745DD3">
        <w:rPr>
          <w:rFonts w:ascii="Roboto Light" w:eastAsia="Roboto Light" w:hAnsi="Roboto Light" w:cs="Roboto Light"/>
          <w:b/>
          <w:bCs/>
          <w:color w:val="404040" w:themeColor="text1" w:themeTint="BF"/>
          <w:sz w:val="20"/>
          <w:szCs w:val="20"/>
        </w:rPr>
        <w:t xml:space="preserve">CIM Importer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linear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formulating objective functions for grid application enhancements, benefiting significantly from an analytical approach to complex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support for grid applications, ensuring 24x7 availability and rapid response to production issues, demonstrating commitment to operational excellence during real-time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and features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enhancing user experience and meeting the requirements of complex client needs while adhering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for enterprise applications, ensuring comprehensive integration of features and deployment in a timely manner while adhering to existing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state-of-the-art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solutions, alongside assisting with the migration of legacy systems to modern cloud-based architectures improving scalability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solutions, employing a user-centric approach to create impactful applications that satisfied client objectives and increased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software testing, applying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specific performance testing tools, to guarantee a high standard of software quality by identifying bugs early in the coding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sessions and code reviews, ensuring code quality while mentoring junior developers, fostering knowledge share and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philosophies.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database architecture and management, implementing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data accessibility and performance across business-critical applications with heavy transactional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optimization solvers such as </w:t>
      </w:r>
      <w:r w:rsidRPr="00745DD3">
        <w:rPr>
          <w:rFonts w:ascii="Roboto Light" w:eastAsia="Roboto Light" w:hAnsi="Roboto Light" w:cs="Roboto Light"/>
          <w:b/>
          <w:bCs/>
          <w:color w:val="404040" w:themeColor="text1" w:themeTint="BF"/>
          <w:sz w:val="20"/>
          <w:szCs w:val="20"/>
        </w:rPr>
        <w:t xml:space="preserve">CPLEX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Gurobi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computational problems, significantly enhancing decision-making capabilities within application logic and algorithm implementations during solution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user training and support for software applications, created comprehensive user guides, and coordinated feedback sessions to facilitate continuous improvement in application usability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UI features, employing enhanced coding practices to improve overall software responsiveness in delivering quality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troubleshooting and debugging software issues, deploying resolution strategies that demonstrated analytical thinking and detail-oriented investigations on common bottlenecks 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maintaining awareness of trends in the software engineering landscape to assess potential impacts on current and future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