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in software development, specializing in web and mobile applications. Deep expertise in Python, C++, and cloud technologies. Proven ability to deliver innovative solutions in highly managed, client-facing environments, particularly in the healthcare sector. Exceptional skills in machine learning, API integration, and deploying complex systems within regulatory frameworks. Seeking to leverage technical skill set and experience in machine learning application and health technology at HOPPR.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(GCP), OpenShift,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APIs:</w:t>
      </w:r>
      <w:r w:rsidRPr="00745DD3">
        <w:rPr>
          <w:rFonts w:ascii="Roboto Light" w:eastAsia="Roboto Light" w:hAnsi="Roboto Light" w:cs="Roboto Light"/>
          <w:color w:val="404040" w:themeColor="text1" w:themeTint="BF"/>
          <w:sz w:val="20"/>
          <w:szCs w:val="20"/>
        </w:rPr>
        <w:t xml:space="preserve"> SQL, NoSQL, MongoDB, PostgreSQL,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CircleCI, Terraform, Ansible,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clinical partners to analyze and understand their specific imaging challenges, leading to tailored solutions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foundational models into radiological workflows, significantly enhancing user adoption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AI deployment pipelines for fine-tuning predictive models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scalability across the health services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API integrations and robust data management solutions in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streamlining clinical workflows and improving data access for front-line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customer training sessions to demonstrate deployment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clinical settings, fostering collaboration and enhancing customer confidence in new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feedback loops with clients to refine product features based on user experience, translating clinical outcomes into actionable product enhancements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impactful presentations and demos of AI capabilities to stakeholders, leveraging </w:t>
      </w:r>
      <w:r w:rsidRPr="00745DD3">
        <w:rPr>
          <w:rFonts w:ascii="Roboto Light" w:eastAsia="Roboto Light" w:hAnsi="Roboto Light" w:cs="Roboto Light"/>
          <w:b/>
          <w:bCs/>
          <w:color w:val="404040" w:themeColor="text1" w:themeTint="BF"/>
          <w:sz w:val="20"/>
          <w:szCs w:val="20"/>
        </w:rPr>
        <w:t xml:space="preserve">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communicate complex models and integration strategies clearly to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cross-disciplinary teams in troubleshooting integration issues with existing hospital </w:t>
      </w:r>
      <w:r w:rsidRPr="00745DD3">
        <w:rPr>
          <w:rFonts w:ascii="Roboto Light" w:eastAsia="Roboto Light" w:hAnsi="Roboto Light" w:cs="Roboto Light"/>
          <w:b/>
          <w:bCs/>
          <w:color w:val="404040" w:themeColor="text1" w:themeTint="BF"/>
          <w:sz w:val="20"/>
          <w:szCs w:val="20"/>
        </w:rPr>
        <w:t xml:space="preserve">PACS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seamless operation and user satisfaction through proactive engagement and problem-solving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ML model validation protocols and benchmarks, facilitating compliance with healthcare regulations and improving the quality of AI outputs in practical deployments across diverse clinical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containerized applications, boosting deployment efficiency and reducing downtime during critical </w:t>
      </w:r>
      <w:r w:rsidRPr="00745DD3">
        <w:rPr>
          <w:rFonts w:ascii="Roboto Light" w:eastAsia="Roboto Light" w:hAnsi="Roboto Light" w:cs="Roboto Light"/>
          <w:b/>
          <w:bCs/>
          <w:color w:val="404040" w:themeColor="text1" w:themeTint="BF"/>
          <w:sz w:val="20"/>
          <w:szCs w:val="20"/>
        </w:rPr>
        <w:t xml:space="preserve">healthcare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on-site engagements to support product deployments, building trust and rapport with clinical teams and driving commitment to successful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data sources into existing analytics frameworks, enhancing the functionalities and capabilities of proprietary tools used by clinical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via iterative testing cycles, identifying lagging components and optimizing them through advanced programming techniques and cloud resource management, resulting in improved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meetings to ensure the technical requirements were aligned with customer needs and regulatory standards, demonstrating a strong understanding of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strategic partnerships with industry leaders, fostering innovation and knowledge-sharing that resulted in new feature sets enhancing the overall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compiled user manuals to provide ongoing support resources, ensuring both internal teams and clients could easily navigate and utilize the deployed AI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high-performance software solutions that integrated seamlessly with enterprise systems while maintaining optimal security and compliance during data exchange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cross-functional teams to gather requirements and implement critical features for medical imaging applications, translating complex needs into actionable technical specifications that drove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code refactoring sessions, ensuring that coding standards were maintained while reducing technical debt and improving application performance and scalability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automated testing frameworks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code quality and accelerating software deployment processes during continuous integration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to peers, promoting best practices in programming, and fostering a culture of continuous improvement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agile development process, participating in sprint planning and daily standups to align project deliverables with business objectives while adapting project scope based on evolving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facilitated communication between frontend applications and backend services, ensuring efficient data retrieval and management capabilities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sharing knowledge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build skills and expertise within the team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monitoring capabilities through the integration of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to proactively address performance issues and ensure consistent application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performance tuning, leveraging profiling tools to identify bottlenecks in critical code paths, thereby optimizing resource utilization 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algorithms and enhance model performance within AI applications, ensuring alignment with business requirements and real-world application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ensuring efficient navigation in cloud-based applications for healthcare professionals.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