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focusing on web and mobile applications development, with extensive expertise in LabVantage, SQL, GxP validation, and regulatory compliance. Proven ability to lead projects, enhance functionalities, and ensure the reliability of critical lab systems in the biotech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Groovy, Jython,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LabVantage LIMS, Jaspersoft Studio, BarTender, Apache Tomcat, IBM DB2, Microsoft SQL Server, JBOSS,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Validation:</w:t>
      </w:r>
      <w:r w:rsidRPr="00745DD3">
        <w:rPr>
          <w:rFonts w:ascii="Roboto Light" w:eastAsia="Roboto Light" w:hAnsi="Roboto Light" w:cs="Roboto Light"/>
          <w:color w:val="404040" w:themeColor="text1" w:themeTint="BF"/>
          <w:sz w:val="20"/>
          <w:szCs w:val="20"/>
        </w:rPr>
        <w:t xml:space="preserve"> GxP Validation, 21 CFR Part 11 Compliance, SOP Development, IQ/OQ/PQ Testing, Change Control Management, Traceability Matrix, Test Automation Frameworks, SpecFlow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Architecture:</w:t>
      </w:r>
      <w:r w:rsidRPr="00745DD3">
        <w:rPr>
          <w:rFonts w:ascii="Roboto Light" w:eastAsia="Roboto Light" w:hAnsi="Roboto Light" w:cs="Roboto Light"/>
          <w:color w:val="404040" w:themeColor="text1" w:themeTint="BF"/>
          <w:sz w:val="20"/>
          <w:szCs w:val="20"/>
        </w:rPr>
        <w:t xml:space="preserve"> Data Integration, eQMS, Veeva Vault, API Development, Microservices Architecture, ERP Integration,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Methodologies, Scrum Framework, JIRA, Trello, Asana, Confluence, Stakeholder Management, Risk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senior </w:t>
      </w:r>
      <w:r w:rsidRPr="00745DD3">
        <w:rPr>
          <w:rFonts w:ascii="Roboto Light" w:eastAsia="Roboto Light" w:hAnsi="Roboto Light" w:cs="Roboto Light"/>
          <w:b/>
          <w:bCs/>
          <w:color w:val="404040" w:themeColor="text1" w:themeTint="BF"/>
          <w:sz w:val="20"/>
          <w:szCs w:val="20"/>
        </w:rPr>
        <w:t xml:space="preserve">LabVantage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technical subject matter expert, supporting configuration, deployment, validation, and troubleshooting in compliance with </w:t>
      </w:r>
      <w:r w:rsidRPr="00745DD3">
        <w:rPr>
          <w:rFonts w:ascii="Roboto Light" w:eastAsia="Roboto Light" w:hAnsi="Roboto Light" w:cs="Roboto Light"/>
          <w:b/>
          <w:bCs/>
          <w:color w:val="404040" w:themeColor="text1" w:themeTint="BF"/>
          <w:sz w:val="20"/>
          <w:szCs w:val="20"/>
        </w:rPr>
        <w:t xml:space="preserve">GxP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ensuring the reliability of laboratory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enhancement projects for QC applications by upgrading existing features in </w:t>
      </w:r>
      <w:r w:rsidRPr="00745DD3">
        <w:rPr>
          <w:rFonts w:ascii="Roboto Light" w:eastAsia="Roboto Light" w:hAnsi="Roboto Light" w:cs="Roboto Light"/>
          <w:b/>
          <w:bCs/>
          <w:color w:val="404040" w:themeColor="text1" w:themeTint="BF"/>
          <w:sz w:val="20"/>
          <w:szCs w:val="20"/>
        </w:rPr>
        <w:t xml:space="preserve">LabVantage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new modules, directly contributing to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user requirements, translating them into actionable designs while ensuring adherence to industry best practices and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troubleshooting for </w:t>
      </w:r>
      <w:r w:rsidRPr="00745DD3">
        <w:rPr>
          <w:rFonts w:ascii="Roboto Light" w:eastAsia="Roboto Light" w:hAnsi="Roboto Light" w:cs="Roboto Light"/>
          <w:b/>
          <w:bCs/>
          <w:color w:val="404040" w:themeColor="text1" w:themeTint="BF"/>
          <w:sz w:val="20"/>
          <w:szCs w:val="20"/>
        </w:rPr>
        <w:t xml:space="preserve">LabVantage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leveraging extensive analysis skills to identify root causes and implement effective solutions in critical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and managed </w:t>
      </w:r>
      <w:r w:rsidRPr="00745DD3">
        <w:rPr>
          <w:rFonts w:ascii="Roboto Light" w:eastAsia="Roboto Light" w:hAnsi="Roboto Light" w:cs="Roboto Light"/>
          <w:b/>
          <w:bCs/>
          <w:color w:val="404040" w:themeColor="text1" w:themeTint="BF"/>
          <w:sz w:val="20"/>
          <w:szCs w:val="20"/>
        </w:rPr>
        <w:t xml:space="preserve">GxP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including development and maintenance of validation documentation, ensuring compliance with </w:t>
      </w:r>
      <w:r w:rsidRPr="00745DD3">
        <w:rPr>
          <w:rFonts w:ascii="Roboto Light" w:eastAsia="Roboto Light" w:hAnsi="Roboto Light" w:cs="Roboto Light"/>
          <w:b/>
          <w:bCs/>
          <w:color w:val="404040" w:themeColor="text1" w:themeTint="BF"/>
          <w:sz w:val="20"/>
          <w:szCs w:val="20"/>
        </w:rPr>
        <w:t xml:space="preserve">21 CFR Part 11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change controls and deviations, ensuring proper documentation and communication with stakeholders to maintain audit readiness across QC system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system integration projects, designing secure and efficient data flow across applications while maintaining stringent compliance standards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supporting </w:t>
      </w:r>
      <w:r w:rsidRPr="00745DD3">
        <w:rPr>
          <w:rFonts w:ascii="Roboto Light" w:eastAsia="Roboto Light" w:hAnsi="Roboto Light" w:cs="Roboto Light"/>
          <w:b/>
          <w:bCs/>
          <w:color w:val="404040" w:themeColor="text1" w:themeTint="BF"/>
          <w:sz w:val="20"/>
          <w:szCs w:val="20"/>
        </w:rPr>
        <w:t xml:space="preserve">data acquisition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Empower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capabilities through strategic application of technical expertise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and improved the performance of QC systems, ensuring operational excellence while supporting the lab's strategic objectives and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end-users, ensuring proficient use of applications while fostering a culture of continuous improvement and compliance within laboratory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reliable operation of critical laboratory applications by maintaining system configuration and user access management while also aligning with regulatory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reports and labels using </w:t>
      </w:r>
      <w:r w:rsidRPr="00745DD3">
        <w:rPr>
          <w:rFonts w:ascii="Roboto Light" w:eastAsia="Roboto Light" w:hAnsi="Roboto Light" w:cs="Roboto Light"/>
          <w:b/>
          <w:bCs/>
          <w:color w:val="404040" w:themeColor="text1" w:themeTint="BF"/>
          <w:sz w:val="20"/>
          <w:szCs w:val="20"/>
        </w:rPr>
        <w:t xml:space="preserve">Jaspersoft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visualization and accessibility for non-technical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Quality department to address compliance inquiries, ensuring all QC systems adhered to strict regulatory frameworks and facilitated smooth operational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w:t>
      </w:r>
      <w:r w:rsidRPr="00745DD3">
        <w:rPr>
          <w:rFonts w:ascii="Roboto Light" w:eastAsia="Roboto Light" w:hAnsi="Roboto Light" w:cs="Roboto Light"/>
          <w:b/>
          <w:bCs/>
          <w:color w:val="404040" w:themeColor="text1" w:themeTint="BF"/>
          <w:sz w:val="20"/>
          <w:szCs w:val="20"/>
        </w:rPr>
        <w:t xml:space="preserve">SOPs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lifecycle documentation, encompassing high-level overviews and detailed specifications suitable for regulatory review without redundancy or ambiguity.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project management skills to lead the deployment of upgraded </w:t>
      </w:r>
      <w:r w:rsidRPr="00745DD3">
        <w:rPr>
          <w:rFonts w:ascii="Roboto Light" w:eastAsia="Roboto Light" w:hAnsi="Roboto Light" w:cs="Roboto Light"/>
          <w:b/>
          <w:bCs/>
          <w:color w:val="404040" w:themeColor="text1" w:themeTint="BF"/>
          <w:sz w:val="20"/>
          <w:szCs w:val="20"/>
        </w:rPr>
        <w:t xml:space="preserve">LabVantage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aligning system functionalities with evolving business needs and leveraging technical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web and 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frameworks to enhance user engagement and streamline system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design project scopes, ensuring deliverables met requirements-based specifications while upholding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software solutions, focusing on maximizing efficiency through responsive design patterns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satisfaction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promoting best practices and maintaining code quality while being actively involved in knowledge sharing sessions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system architecture and design, implementing scalable solutions on cloud platforms to leverage efficiency and innovation 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backlog grooming and sprint planning activities, ensuring alignment between engineering teams and business objectives while prioritizing key deliverables for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CI/CD pipelines to enhance deployment speed and reliability, fostering reduction in delivery timelines and enhancing product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facilitating skill development in best practices, frameworks, and architectures pertinent to contemporary software engineering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techniques and tools for performance tuning and issue resolution, helping the team achieve optimal application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throughout the software development lifecycle focusing on communication and transparency to cultivate positive working relationships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new technologies and internal tools, contributing to the skill advancement of the engineering team and promoting continuous learning culture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project documentation and reports, tracking progress and offering insights that improved project planning and execution while aligning with corporate governance frameworks.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