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Backend Engineer with over 9 years in software development, focusing on building scalable web and mobile applications. Proficient in modern backend technologies and cloud platforms, committed to implementing best practices in coding and development. Adept at collaborating with cross-functional teams to deliver innovative solutions in the healthcare domain, integrating AI technologies for enhanced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Node.js, Java, Go, C#, Ruby, TypeScript,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Express.js, Spring Boot, Ruby on Rails, ASP.NET,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Cassandra, Redis, Microsoft SQL Server,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Heroku,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Apache Kafka, Apache Spark, Apache Airflow, Apache Beam, RabbitMQ, Fargate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microservices architecture, ensuring efficient data processing and seamless integration with cloud-based infrastructures to enhance application performance and reliability in healthcare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interoperability between diverse healthcare systems, facilitating real-time data access and improved patient care outcomes through efficient data exchange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AI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into the backend services, leveraging </w:t>
      </w:r>
      <w:r w:rsidRPr="00745DD3">
        <w:rPr>
          <w:rFonts w:ascii="Roboto Light" w:eastAsia="Roboto Light" w:hAnsi="Roboto Light" w:cs="Roboto Light"/>
          <w:b/>
          <w:bCs/>
          <w:color w:val="404040" w:themeColor="text1" w:themeTint="BF"/>
          <w:sz w:val="20"/>
          <w:szCs w:val="20"/>
        </w:rPr>
        <w:t xml:space="preserve">Large Language Models (LLMs)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data-driven insights, significantly enhancing feature performance and accuracy in delivering personalized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developers to create a cohesive user experience, ensuring smooth transitions between backend processes and user interactions in the web application environment despite varying data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observability practices using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leading to enhanced diagnostics capabilities and proactive performance monitoring essential for maintaining high-quality service delivery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the complete software development lifecycle, from ideation and prototyping to deployment and continuous maintenance of backend features under agile methodologies, driving product innovation and rapid iteration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facilitated knowledge-sharing sessions within the engineering team, fostering a culture of continuous improvement and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w:t>
      </w:r>
      <w:r w:rsidRPr="00745DD3">
        <w:rPr>
          <w:rFonts w:ascii="Roboto Light" w:eastAsia="Roboto Light" w:hAnsi="Roboto Light" w:cs="Roboto Light"/>
          <w:b/>
          <w:bCs/>
          <w:color w:val="404040" w:themeColor="text1" w:themeTint="BF"/>
          <w:sz w:val="20"/>
          <w:szCs w:val="20"/>
        </w:rPr>
        <w:t xml:space="preserve">data processing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workflow management, improving data accuracy and operational efficiency across healthcare datasets with varied structures and sources of entry.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reliability through effective testing strategies, deploying CI/CD pipelines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application builds and seamless environment management, reducing deployment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product owners to refine requirements, translating them into detailed technical specifications ensuring alignment between customer expectations and delivered solutions within the project timeline.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AI-driven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analytical processes, exploring emerging </w:t>
      </w:r>
      <w:r w:rsidRPr="00745DD3">
        <w:rPr>
          <w:rFonts w:ascii="Roboto Light" w:eastAsia="Roboto Light" w:hAnsi="Roboto Light" w:cs="Roboto Light"/>
          <w:b/>
          <w:bCs/>
          <w:color w:val="404040" w:themeColor="text1" w:themeTint="BF"/>
          <w:sz w:val="20"/>
          <w:szCs w:val="20"/>
        </w:rPr>
        <w:t xml:space="preserve">healthcare interoperability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to drive innovations in data accessibility and patient engagement, establishing Novellia as a leader in health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significant role in shaping the engineering team's practices, advocating for the adoption of new technologies and methodologies that aligned with evolving industry standards and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strategic planning for system design discussions, incorporating insights from user feedback and analytics to inform architecture decisions and address business needs effectively across multiple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alongside the data engineering team, establishing a structured approach to handling complex healthcare data with emphasis on data quality and system performance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hands-on experience with relational databases to develop complex queries that supported the application’s data retrieval needs, ensuring timely availability of critical healthcare information.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high-performance applications within a service-oriented architecture, contributing to significant operational efficiencies in multi-tier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multidisciplinary teams to build and enhance features of enterprise-level applications,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responsiveness and reduced time-to-market for critical functionality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ensuring data is easily accessible and secure, which fostered a smoother integration path for third-party services enhancing interoperability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tuning and profiling of backend applications to address bottlenecks, successfully optimizing query performance in databases, ensuring rapid response time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frameworks and strategies that improved code quality by significantly reducing defects during deployment phases, which established a more reliable application lifecycle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documentation practices around development processes and architecture decisions, ensuring that all engineering solutions were easily understandable, scalable, and aligned with overall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engineers, guiding them through software design principles and coding best practices to build a strong, efficient development team, fostering a knowledge-sharing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stakeholders to gather requirements and translate them into technical specifications that informed the development process, ensuring that user needs were met accurately and effectively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daily stand-ups and retrospectives, continuously reflecting on team processes and advocating for improvements that enhanced workflow efficiency and team collaboration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deployment automation scripts using solution offerings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for building, testing, and deploying applications quickly and reliably.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adopted new frameworks and tools designed for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aligning organizational strategies with the latest industry trends to maintain competitive advantages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data migration strategies due to evolving project requirements, facilitating smooth transitions for legacy systems using </w:t>
      </w:r>
      <w:r w:rsidRPr="00745DD3">
        <w:rPr>
          <w:rFonts w:ascii="Roboto Light" w:eastAsia="Roboto Light" w:hAnsi="Roboto Light" w:cs="Roboto Light"/>
          <w:b/>
          <w:bCs/>
          <w:color w:val="404040" w:themeColor="text1" w:themeTint="BF"/>
          <w:sz w:val="20"/>
          <w:szCs w:val="20"/>
        </w:rPr>
        <w:t xml:space="preserve">migration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data integrity and minimal downtime.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