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specializing in web and mobile applications. Proven expertise in machine learning, deep learning frameworks, and the application of generative AI to solve real-world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Pandas, NumPy,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Notebooks, VS Code, Unix, PowerShell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pipelines to process and analyze vast datasets efficiently,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and preprocessing for machine learning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accuracy and performance for various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(NLP)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 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advanced text generation and sentiment analysis features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agile methodologies to enhance product delivery through rapid prototyping and continuous feedback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abreast of trends to apply the latest approaches in model training and deployment across diverse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adaptability in mind, enabling real-time model updates based on new incoming data streams to maintain relevance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deployments, streamlining application rollouts and ensuring consistency across different environments while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capable of uncovering complex patterns in user behavior,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images and voice to drive engagement and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engineering and optimization techniques, enhancing model response accuracy and contextual relevance for various AI-generated outputs across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AI research and model performance to stakeholders, translating intricate technical concepts into understandable insights to foster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code audits,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developers to build a more capable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existing infrastructure, ensuring a seamless transition to more efficient operational workflows focused 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by continually upgrading skills in state-of-the-art technologies and methodologies, establishing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AI projects, outlining system architectures, model choices, and performance metrics for future reference and onboarding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management processes through automation, significantly reducing manual tasks and increasing the time available for strategic project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innovative solutions that met diverse customer needs across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ensuring data integrity to support robust application functionalities and enhanced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cross-functional teams to drive efficiency in software development processes, fostering a culture of quality and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experiences and responsive designs to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scalability of existing applications through effective refactoring and careful architecture planning, leveraging reusable components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analysis through testing, deploying applications that consistently met or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 rates and increased product reliability over various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codebases and development processes, facilitating clearer communication among team members and supporting smoother transitions between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knowledge in cutting-edge technologies and best practices to encourage professional growth and skills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evolving project requirements, facilitating frequent team collaboration and rapid problem resolution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clients to gather project requirements, translating their needs into technical specifications for implementation into effective working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tasks, ensuring seamless transitions to new systems without disruption to existing service or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