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Java Developer with over 11 years of experience in software development, specializing in building enterprise-level web and mobile applications. Adept at leveraging Java, gRPC, AWS, and Spring Framework to deliver high-quality software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SQL,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gRPC, GraphQL, Angular,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DynamoDB,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PostgreSQL, MS 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Maven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develop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a focus on security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reduce latency, resulting in a more responsive application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robust RESTful APIs, ensuring compliance with external banking security standards and improving data transactions with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methodologies, conducting daily stand-ups and bi-weekly sprints to enhance team collaboration and adaptability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minimizing over-fetching and streamlining client-server interactions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tests and debugging procedures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reliability and performance tracking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to elevate technical expertise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logging and monitoring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facilitating rapid troubleshooting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 sessions, enforcing best coding practices and fostering a culture of continuous improvement and innovation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design of the system, focusing on modularity and reusability, aligning with current industry trends for cloud-native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the time needed for changes to reach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knowledge-sharing sessions to promote innovation and discuss trends in technology, including advances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user-friendly interfaces with powerful back-end logic to enhance user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architecture discussions, proposing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industry best practices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of application releases and minimizing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train staff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encouraging a continuous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 customized solutions, ensuring alignment with business objectives and compliance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that supported large-scale data processing,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easier management of service dependencies.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legacy systems, decreasing load times and improving user satisfaction through efficiency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system architecture and API specifications, promoting knowledge transfer and onboarding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focused on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solid foundation for future enhancements and client customization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manage databases for web applications, enabling efficient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clarify software requirements and guarantee alignment with client specifications, fostering transparency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layouts that enhanced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 to a cloud environment,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reduce maintenance costs for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application issues in collaboration with QA teams, ensuring rapid resolution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interface designs that aligned with modern web standards, enhancing accessibility for all users, achieving consistent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