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Cybersecurity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Cybersecurity Engineer with 11 years of extensive experience in securing web and mobile applications, specializing in FDA regulated environments and cybersecurity governance. Proven expertise in embedding security practices across product lifecycles, managing compliance with standards like SOC 2, and leading vulnerability assessments to safeguard healthcare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Spring, Node.js,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 Tools:</w:t>
      </w:r>
      <w:r w:rsidRPr="00C3688B">
        <w:rPr>
          <w:rFonts w:ascii="Arial" w:hAnsi="Arial" w:cs="Arial"/>
          <w:color w:val="424242" w:themeColor="text1" w:themeShade="BF"/>
          <w:sz w:val="20"/>
          <w:szCs w:val="20"/>
        </w:rPr>
        <w:t xml:space="preserve"> ISO 14971, NIST CSF, SOC 2, HIPAA, OWASP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Assessment Tools:</w:t>
      </w:r>
      <w:r w:rsidRPr="00C3688B">
        <w:rPr>
          <w:rFonts w:ascii="Arial" w:hAnsi="Arial" w:cs="Arial"/>
          <w:color w:val="424242" w:themeColor="text1" w:themeShade="BF"/>
          <w:sz w:val="20"/>
          <w:szCs w:val="20"/>
        </w:rPr>
        <w:t xml:space="preserve"> Burp Suite, Nessus, Metasploit, Qualys, Wireshark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best practices into the </w:t>
      </w:r>
      <w:r w:rsidRPr="00C3688B">
        <w:rPr>
          <w:rFonts w:ascii="Arial" w:hAnsi="Arial" w:cs="Arial"/>
          <w:b/>
          <w:color w:val="424242" w:themeColor="text1" w:themeShade="BF"/>
          <w:sz w:val="20"/>
          <w:szCs w:val="20"/>
        </w:rPr>
        <w:t xml:space="preserve">Software Development Lifecycle (SDLC)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secure deployments across various projects with high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threat modeling sessions using </w:t>
      </w:r>
      <w:r w:rsidRPr="00C3688B">
        <w:rPr>
          <w:rFonts w:ascii="Arial" w:hAnsi="Arial" w:cs="Arial"/>
          <w:b/>
          <w:color w:val="424242" w:themeColor="text1" w:themeShade="BF"/>
          <w:sz w:val="20"/>
          <w:szCs w:val="20"/>
        </w:rPr>
        <w:t xml:space="preserve">STRIDE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to identify potential risks in medical device software, producing comprehensive risk analyses that informed security controls and architecture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cybersecurity documentation in alignment with </w:t>
      </w:r>
      <w:r w:rsidRPr="00C3688B">
        <w:rPr>
          <w:rFonts w:ascii="Arial" w:hAnsi="Arial" w:cs="Arial"/>
          <w:b/>
          <w:color w:val="424242" w:themeColor="text1" w:themeShade="BF"/>
          <w:sz w:val="20"/>
          <w:szCs w:val="20"/>
        </w:rPr>
        <w:t xml:space="preserve">FDA 510(k)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submissions, ensuring compliance with </w:t>
      </w:r>
      <w:r w:rsidRPr="00C3688B">
        <w:rPr>
          <w:rFonts w:ascii="Arial" w:hAnsi="Arial" w:cs="Arial"/>
          <w:b/>
          <w:color w:val="424242" w:themeColor="text1" w:themeShade="BF"/>
          <w:sz w:val="20"/>
          <w:szCs w:val="20"/>
        </w:rPr>
        <w:t xml:space="preserve">IEC 62304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providing the necessary documentation for regulatory audits and submissions.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security requirements in collaboration with product management and engineering teams, ensuring all medical device platforms adhered to the latest </w:t>
      </w:r>
      <w:r w:rsidRPr="00C3688B">
        <w:rPr>
          <w:rFonts w:ascii="Arial" w:hAnsi="Arial" w:cs="Arial"/>
          <w:b/>
          <w:color w:val="424242" w:themeColor="text1" w:themeShade="BF"/>
          <w:sz w:val="20"/>
          <w:szCs w:val="20"/>
        </w:rPr>
        <w:t xml:space="preserve">NIST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vulnerability assessments using tools like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third-party penetration testing efforts, and successfully executing remediation plans aligning with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an incident response strategy for product security events utilizing tools like </w:t>
      </w:r>
      <w:r w:rsidRPr="00C3688B">
        <w:rPr>
          <w:rFonts w:ascii="Arial" w:hAnsi="Arial" w:cs="Arial"/>
          <w:b/>
          <w:color w:val="424242" w:themeColor="text1" w:themeShade="BF"/>
          <w:sz w:val="20"/>
          <w:szCs w:val="20"/>
        </w:rPr>
        <w:t xml:space="preserve">Wireshark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into security incidents and enhance overall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architecture reviews of corporate </w:t>
      </w:r>
      <w:r w:rsidRPr="00C3688B">
        <w:rPr>
          <w:rFonts w:ascii="Arial" w:hAnsi="Arial" w:cs="Arial"/>
          <w:b/>
          <w:color w:val="424242" w:themeColor="text1" w:themeShade="BF"/>
          <w:sz w:val="20"/>
          <w:szCs w:val="20"/>
        </w:rPr>
        <w:t xml:space="preserve">IT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enforce the principle of least privilege across cloud services and on-premises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vendor risk management practices to assess third-party security postures, ensuring compliance with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evaluated the company's security posture by conducting </w:t>
      </w:r>
      <w:r w:rsidRPr="00C3688B">
        <w:rPr>
          <w:rFonts w:ascii="Arial" w:hAnsi="Arial" w:cs="Arial"/>
          <w:b/>
          <w:color w:val="424242" w:themeColor="text1" w:themeShade="BF"/>
          <w:sz w:val="20"/>
          <w:szCs w:val="20"/>
        </w:rPr>
        <w:t xml:space="preserve">cybersecurity training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staff, fostering a culture of security awareness and adherence to established policies and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integrated cloud security strategies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healthcare data while optimizing operational efficiencies and resource allocation through automated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security controls and documented policies to maintain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certification, conducting regular gap analyses against evolving threat landscapes and business needs in the healthcare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liaison during regulatory audits, effectively communicating the company’s cybersecurity stance to FDA representatives while addressing inquiries about compliance and security measures.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application architectures in compliance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ensuring that patient data was protected throughout the application lifecycle with stringent security controls and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cross-functional teams in conducting vulnerability assessments on existing systems, employing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to drive improvements in application security and reduce potential attack vectors.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an internal </w:t>
      </w:r>
      <w:r w:rsidRPr="00C3688B">
        <w:rPr>
          <w:rFonts w:ascii="Arial" w:hAnsi="Arial" w:cs="Arial"/>
          <w:b/>
          <w:bCs/>
          <w:color w:val="424242" w:themeColor="text1" w:themeShade="BF"/>
          <w:sz w:val="20"/>
        </w:rPr>
        <w:t xml:space="preserve">incident response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that defined protocols for managing and mitigating security breaches, training teams on effective incident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comprehensive </w:t>
      </w:r>
      <w:r w:rsidRPr="00C3688B">
        <w:rPr>
          <w:rFonts w:ascii="Arial" w:hAnsi="Arial" w:cs="Arial"/>
          <w:b/>
          <w:bCs/>
          <w:color w:val="424242" w:themeColor="text1" w:themeShade="BF"/>
          <w:sz w:val="20"/>
        </w:rPr>
        <w:t xml:space="preserve">security policies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procedures, facilitating company-wide training sessions that focused on security best practices and compliance with industry regulations, including </w:t>
      </w:r>
      <w:r w:rsidRPr="00C3688B">
        <w:rPr>
          <w:rFonts w:ascii="Arial" w:hAnsi="Arial" w:cs="Arial"/>
          <w:b/>
          <w:bCs/>
          <w:color w:val="424242" w:themeColor="text1" w:themeShade="BF"/>
          <w:sz w:val="20"/>
        </w:rPr>
        <w:t xml:space="preserve">SOC 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NIST CSF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monitoring solutions to oversee system security, utilizing tools like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analysis and incident detection across corporate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documentation development for regulatory submissions, working closely with stakeholders to ensure that security elements were clearly defined and aligned with FDA cybersecurity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guidance on regulatory compliance initiatives, ensuring that the organization remained prepared for audits and inspections by maintaining accurate and up-to-date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w:t>
      </w:r>
      <w:r w:rsidRPr="00C3688B">
        <w:rPr>
          <w:rFonts w:ascii="Arial" w:hAnsi="Arial" w:cs="Arial"/>
          <w:b/>
          <w:bCs/>
          <w:color w:val="424242" w:themeColor="text1" w:themeShade="BF"/>
          <w:sz w:val="20"/>
        </w:rPr>
        <w:t xml:space="preserve">third-party risk assessment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 evaluating vendor security practices against established frameworks such as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mitigate potential risks inherent in external partnerships.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by implementing security protocols within an agile environment, focusing on secure API design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code reviews, identifying security loopholes and introducing standards for secure coding practices that reduced vulnerabilities and enhanced software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integrate user access controls into application features,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IAM roles to limit permissions based on user requirements and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security audits of the application and infrastructure to identify and address potential vulnerabilities, enhancing overall security posture and compliance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troubleshooting techniques to address security incidents promptly, documenting each event and creating actionable insights to improve future responsive measures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on-premises applications to a cloud environment, ensuring all data migrations adhered to </w:t>
      </w:r>
      <w:r w:rsidRPr="00C3688B">
        <w:rPr>
          <w:rFonts w:ascii="Arial" w:hAnsi="Arial" w:cs="Arial"/>
          <w:b/>
          <w:bCs/>
          <w:color w:val="424242" w:themeColor="text1" w:themeShade="BF"/>
          <w:sz w:val="20"/>
        </w:rPr>
        <w:t xml:space="preserve">security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the deployment phase, ensuring continuity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introducing new features relevant to the healthcare industry, applying keen insights from security assessments to guide development focused on compliance and safety.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