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Proven expertise in leading technical projects, mentoring teams, and architecting complex systems to optimize healthcare solutions. Demonstrated proficiency with modern frameworks and dedication to enhancing patient care through innovative software solutions.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 HTML5, CSS3, Shell Scripting</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.NET Core, React, Node.js, Express, Angular, Django, Flask, Bootstrap</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MS SQL Server, PostgreSQL, MySQL, MongoDB, Redis, Oracle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Docker, Kubernetes, Jenkins, Git, Azure DevOps, AWS, Terraform, Ansible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Design and Architecture:</w:t>
      </w:r>
      <w:r w:rsidRPr="00745DD3">
        <w:rPr>
          <w:rFonts w:ascii="Roboto Light" w:eastAsia="Roboto Light" w:hAnsi="Roboto Light" w:cs="Roboto Light"/>
          <w:color w:val="404040" w:themeColor="text1" w:themeTint="BF"/>
          <w:sz w:val="20"/>
          <w:szCs w:val="20"/>
        </w:rPr>
        <w:t xml:space="preserve"> RESTful APIs, GraphQL, gRPC, OpenAPI, SOAP, Microservices Architecture, Service-Oriented Architecture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design, and development of scalable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software systems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genetic testing workflows, enhancing operational efficiency within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healthcare environments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championed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engineering standards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best practices in software development to ensure architectural consistency across cross-functional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geneticists and bioinformaticians to translate complex business needs into effective, secure, and maintainable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software solutions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directly improve patient care outcomes.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technical reviews, fostering a culture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technical excellence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mentorship and coaching of engineers across multiple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root-cause analysis for complex technical issues, implementing efficient resolutions to ensure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system reliability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maintain data integrity within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clinical reporting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technologies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strategic adoption, keeping the organization at the forefront of innovation in the genetics field.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product and lab professionals to optimize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clinical workflows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operational management and patient processing efficiency.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compliance with security, privacy, and regulatory requirements across all software systems to uphold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highest standards in clinical data management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innovation initiatives, advancing Baylor Genetics'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digital capabilities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competitive advantage in the healthcare market.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continuous assessments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software performance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enhancements to support evolving genetic testing requirements in alignment with industry best practices.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documentation efforts to maintain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audit-ready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status of software applications, ensuring transparency and compliance with regulatory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active involvement in community discussions, advocating for the integration of next-generation technologies to improve clinical decision-making processes.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full-stack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web applications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TypeScript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intuitive user interfaces that streamlined interactions for laboratory professionals.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support data exchange between systems, enhancing interoperability within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genomic testing</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quality assurance and product management, to ensure the successful delivery of comprehensive software solutions tailored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healthcare applications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complex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database schemas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proficiency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retrieval speed and application performance for large-scale clinical datasets.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introduce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the team's workflow, significantly improving deployment pipelines and overall software reliability for time-sensitive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the development team to promote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best practices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code standards and architectural decisions, leading to a more cohesive development culture.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of existing applications, resulting in improved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system response times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overall user satisfaction among internal stakeholders.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defining long-term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technical roadmaps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the company's vision and compliance requirements for genomic data management.</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client-server applications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the user experience through innovative UX designs and responsive layouts for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healthcare solutions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coding standards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guidelines that improved code quality and maintainability across various projects and engineering teams.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hands-on experience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Agile methodologies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daily stand-ups and sprint planning to ensure project deliverables met deadlines and client expectations.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deployment of systems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Microsoft Azure</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cloud integration and improving application scalability for evolving user demands.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in developing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microservices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modularity and enable independent scaling of services across the application stack.</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code review processes and enhanced project workflows, contributing to overall productivity increases across the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software engineering team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 applications that supported daily operations, resulting in increased workflow efficiency in laboratory testing environments, managing over 150 simultaneous requests.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